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23"/>
        </w:rPr>
      </w:pPr>
    </w:p>
    <w:p>
      <w:pPr>
        <w:pStyle w:val="BodyText"/>
        <w:ind w:left="3626"/>
        <w:rPr>
          <w:rFonts w:ascii="Times New Roman"/>
        </w:rPr>
      </w:pPr>
      <w:r>
        <w:rPr>
          <w:rFonts w:ascii="Times New Roman"/>
        </w:rPr>
        <w:drawing>
          <wp:inline distT="0" distB="0" distL="0" distR="0">
            <wp:extent cx="1268063" cy="117157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268063" cy="1171575"/>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Heading1"/>
        <w:spacing w:line="360" w:lineRule="auto" w:before="225"/>
        <w:ind w:right="189"/>
      </w:pPr>
      <w:r>
        <w:rPr/>
        <w:t>National Agency for Food &amp; Drug Administration &amp; Control (NAFDAC)</w:t>
      </w:r>
    </w:p>
    <w:p>
      <w:pPr>
        <w:pStyle w:val="BodyText"/>
        <w:rPr>
          <w:b/>
          <w:sz w:val="42"/>
        </w:rPr>
      </w:pPr>
    </w:p>
    <w:p>
      <w:pPr>
        <w:pStyle w:val="BodyText"/>
        <w:rPr>
          <w:b/>
          <w:sz w:val="42"/>
        </w:rPr>
      </w:pPr>
    </w:p>
    <w:p>
      <w:pPr>
        <w:pStyle w:val="BodyText"/>
        <w:rPr>
          <w:b/>
          <w:sz w:val="42"/>
        </w:rPr>
      </w:pPr>
    </w:p>
    <w:p>
      <w:pPr>
        <w:pStyle w:val="BodyText"/>
        <w:rPr>
          <w:b/>
          <w:sz w:val="36"/>
        </w:rPr>
      </w:pPr>
    </w:p>
    <w:p>
      <w:pPr>
        <w:spacing w:line="360" w:lineRule="auto" w:before="0"/>
        <w:ind w:left="188" w:right="185" w:firstLine="0"/>
        <w:jc w:val="center"/>
        <w:rPr>
          <w:b/>
          <w:sz w:val="36"/>
        </w:rPr>
      </w:pPr>
      <w:r>
        <w:rPr>
          <w:b/>
          <w:sz w:val="36"/>
        </w:rPr>
        <w:t>Registration &amp; Regulatory Affairs (R &amp; R) Directorate</w:t>
      </w:r>
    </w:p>
    <w:p>
      <w:pPr>
        <w:pStyle w:val="BodyText"/>
        <w:rPr>
          <w:b/>
          <w:sz w:val="42"/>
        </w:rPr>
      </w:pPr>
    </w:p>
    <w:p>
      <w:pPr>
        <w:pStyle w:val="BodyText"/>
        <w:rPr>
          <w:b/>
          <w:sz w:val="42"/>
        </w:rPr>
      </w:pPr>
    </w:p>
    <w:p>
      <w:pPr>
        <w:pStyle w:val="BodyText"/>
        <w:rPr>
          <w:b/>
          <w:sz w:val="42"/>
        </w:rPr>
      </w:pPr>
    </w:p>
    <w:p>
      <w:pPr>
        <w:pStyle w:val="BodyText"/>
        <w:rPr>
          <w:b/>
          <w:sz w:val="42"/>
        </w:rPr>
      </w:pPr>
    </w:p>
    <w:p>
      <w:pPr>
        <w:pStyle w:val="BodyText"/>
        <w:rPr>
          <w:b/>
          <w:sz w:val="48"/>
        </w:rPr>
      </w:pPr>
    </w:p>
    <w:p>
      <w:pPr>
        <w:spacing w:line="360" w:lineRule="auto" w:before="0"/>
        <w:ind w:left="188" w:right="365" w:firstLine="0"/>
        <w:jc w:val="center"/>
        <w:rPr>
          <w:b/>
          <w:sz w:val="36"/>
        </w:rPr>
      </w:pPr>
      <w:r>
        <w:rPr>
          <w:b/>
          <w:sz w:val="36"/>
        </w:rPr>
        <w:t>SUMMARY OF PRODUCT CHARACTERISTICS (SmPC) TEMPLATE</w:t>
      </w:r>
    </w:p>
    <w:p>
      <w:pPr>
        <w:spacing w:after="0" w:line="360" w:lineRule="auto"/>
        <w:jc w:val="center"/>
        <w:rPr>
          <w:sz w:val="36"/>
        </w:rPr>
        <w:sectPr>
          <w:footerReference w:type="default" r:id="rId5"/>
          <w:type w:val="continuous"/>
          <w:pgSz w:w="11910" w:h="16850"/>
          <w:pgMar w:footer="944" w:top="1600" w:bottom="1140" w:left="1300" w:right="1120"/>
          <w:pgNumType w:start="1"/>
        </w:sectPr>
      </w:pPr>
    </w:p>
    <w:p>
      <w:pPr>
        <w:pStyle w:val="BodyText"/>
        <w:rPr>
          <w:b/>
        </w:rPr>
      </w:pPr>
    </w:p>
    <w:p>
      <w:pPr>
        <w:pStyle w:val="BodyText"/>
        <w:rPr>
          <w:b/>
        </w:rPr>
      </w:pPr>
    </w:p>
    <w:p>
      <w:pPr>
        <w:pStyle w:val="BodyText"/>
        <w:rPr>
          <w:b/>
        </w:rPr>
      </w:pPr>
    </w:p>
    <w:p>
      <w:pPr>
        <w:pStyle w:val="BodyText"/>
        <w:rPr>
          <w:b/>
        </w:rPr>
      </w:pPr>
    </w:p>
    <w:p>
      <w:pPr>
        <w:pStyle w:val="BodyText"/>
        <w:spacing w:before="11"/>
        <w:rPr>
          <w:b/>
          <w:sz w:val="27"/>
        </w:rPr>
      </w:pPr>
    </w:p>
    <w:p>
      <w:pPr>
        <w:pStyle w:val="Heading2"/>
        <w:spacing w:line="350" w:lineRule="auto" w:before="100"/>
      </w:pPr>
      <w:r>
        <w:rPr>
          <w:rFonts w:ascii="Times New Roman"/>
          <w:i/>
          <w:sz w:val="20"/>
        </w:rPr>
        <w:t>[</w:t>
      </w:r>
      <w:r>
        <w:rPr/>
        <w:t>Instructions in this font/colour are from the World Health Organisation Public Assessment Report WHOPAR guidelines.]</w:t>
      </w:r>
    </w:p>
    <w:p>
      <w:pPr>
        <w:pStyle w:val="BodyText"/>
        <w:spacing w:before="2"/>
        <w:rPr>
          <w:i/>
          <w:sz w:val="30"/>
        </w:rPr>
      </w:pPr>
    </w:p>
    <w:p>
      <w:pPr>
        <w:pStyle w:val="BodyText"/>
        <w:ind w:left="121"/>
      </w:pPr>
      <w:r>
        <w:rPr/>
        <w:t>[Additional instructions and examples]</w:t>
      </w:r>
    </w:p>
    <w:p>
      <w:pPr>
        <w:pStyle w:val="BodyText"/>
        <w:spacing w:before="121"/>
        <w:ind w:left="121"/>
      </w:pPr>
      <w:r>
        <w:rPr/>
        <w:t>{&lt;example text&gt;}</w:t>
      </w:r>
    </w:p>
    <w:p>
      <w:pPr>
        <w:pStyle w:val="BodyText"/>
        <w:rPr>
          <w:sz w:val="24"/>
        </w:rPr>
      </w:pPr>
    </w:p>
    <w:p>
      <w:pPr>
        <w:pStyle w:val="Heading3"/>
        <w:numPr>
          <w:ilvl w:val="0"/>
          <w:numId w:val="1"/>
        </w:numPr>
        <w:tabs>
          <w:tab w:pos="802" w:val="left" w:leader="none"/>
          <w:tab w:pos="803" w:val="left" w:leader="none"/>
        </w:tabs>
        <w:spacing w:line="240" w:lineRule="auto" w:before="195" w:after="0"/>
        <w:ind w:left="802" w:right="0" w:hanging="696"/>
        <w:jc w:val="left"/>
      </w:pPr>
      <w:r>
        <w:rPr/>
        <w:t>NAME OF THE MEDICINAL</w:t>
      </w:r>
      <w:r>
        <w:rPr>
          <w:spacing w:val="-1"/>
        </w:rPr>
        <w:t> </w:t>
      </w:r>
      <w:r>
        <w:rPr/>
        <w:t>PRODUCT</w:t>
      </w:r>
    </w:p>
    <w:p>
      <w:pPr>
        <w:pStyle w:val="BodyText"/>
        <w:spacing w:before="121"/>
        <w:ind w:left="183"/>
        <w:rPr>
          <w:sz w:val="13"/>
        </w:rPr>
      </w:pPr>
      <w:r>
        <w:rPr/>
        <w:t>{(Product) name strength pharmaceutical form}</w:t>
      </w:r>
      <w:r>
        <w:rPr>
          <w:position w:val="7"/>
          <w:sz w:val="13"/>
        </w:rPr>
        <w:t>1</w:t>
      </w:r>
    </w:p>
    <w:p>
      <w:pPr>
        <w:pStyle w:val="BodyText"/>
        <w:rPr>
          <w:sz w:val="24"/>
        </w:rPr>
      </w:pPr>
    </w:p>
    <w:p>
      <w:pPr>
        <w:pStyle w:val="BodyText"/>
        <w:rPr>
          <w:sz w:val="24"/>
        </w:rPr>
      </w:pPr>
    </w:p>
    <w:p>
      <w:pPr>
        <w:pStyle w:val="BodyText"/>
        <w:spacing w:before="3"/>
        <w:rPr>
          <w:sz w:val="22"/>
        </w:rPr>
      </w:pPr>
    </w:p>
    <w:p>
      <w:pPr>
        <w:pStyle w:val="Heading3"/>
        <w:numPr>
          <w:ilvl w:val="0"/>
          <w:numId w:val="1"/>
        </w:numPr>
        <w:tabs>
          <w:tab w:pos="725" w:val="left" w:leader="none"/>
          <w:tab w:pos="726" w:val="left" w:leader="none"/>
        </w:tabs>
        <w:spacing w:line="240" w:lineRule="auto" w:before="0" w:after="0"/>
        <w:ind w:left="726" w:right="0" w:hanging="620"/>
        <w:jc w:val="left"/>
      </w:pPr>
      <w:bookmarkStart w:name="2.  QUALITATIVE AND QUANTITATIVE COMPOSI" w:id="1"/>
      <w:bookmarkEnd w:id="1"/>
      <w:r>
        <w:rPr>
          <w:b w:val="0"/>
        </w:rPr>
      </w:r>
      <w:bookmarkStart w:name="2.  QUALITATIVE AND QUANTITATIVE COMPOSI" w:id="2"/>
      <w:bookmarkEnd w:id="2"/>
      <w:r>
        <w:rPr/>
        <w:t>QUA</w:t>
      </w:r>
      <w:r>
        <w:rPr/>
        <w:t>LITATIVE AND QUANTITATIVE</w:t>
      </w:r>
      <w:r>
        <w:rPr>
          <w:spacing w:val="-2"/>
        </w:rPr>
        <w:t> </w:t>
      </w:r>
      <w:r>
        <w:rPr/>
        <w:t>COMPOSITION</w:t>
      </w:r>
    </w:p>
    <w:p>
      <w:pPr>
        <w:pStyle w:val="BodyText"/>
        <w:spacing w:before="121"/>
        <w:ind w:left="183"/>
      </w:pPr>
      <w:r>
        <w:rPr/>
        <w:t>[API and strength: e.g.:</w:t>
      </w:r>
    </w:p>
    <w:p>
      <w:pPr>
        <w:pStyle w:val="BodyText"/>
        <w:spacing w:line="360" w:lineRule="auto" w:before="121"/>
        <w:ind w:left="121" w:right="6454"/>
      </w:pPr>
      <w:r>
        <w:rPr/>
        <w:t>Each film-coated tablet contains: Lamivudine 150 mg]</w:t>
      </w:r>
    </w:p>
    <w:p>
      <w:pPr>
        <w:pStyle w:val="BodyText"/>
        <w:spacing w:before="1"/>
        <w:rPr>
          <w:sz w:val="30"/>
        </w:rPr>
      </w:pPr>
    </w:p>
    <w:p>
      <w:pPr>
        <w:pStyle w:val="BodyText"/>
        <w:ind w:left="121"/>
      </w:pPr>
      <w:r>
        <w:rPr/>
        <w:t>Excipients with known effect:</w:t>
      </w:r>
    </w:p>
    <w:p>
      <w:pPr>
        <w:pStyle w:val="BodyText"/>
        <w:spacing w:line="360" w:lineRule="auto" w:before="121"/>
        <w:ind w:left="121" w:right="117"/>
        <w:jc w:val="both"/>
      </w:pPr>
      <w:r>
        <w:rPr/>
        <w:t>Each tablet (unit dose) contains x mg of &lt;excipient known to have safety concern&gt; (add as many as present in the unit dose). Note that even if the excipient is present in the FPP below the threshold in the EC guideline, the amount of each excipient in the guideline should be specified.</w:t>
      </w:r>
    </w:p>
    <w:p>
      <w:pPr>
        <w:pStyle w:val="BodyText"/>
        <w:spacing w:before="11"/>
        <w:rPr>
          <w:sz w:val="29"/>
        </w:rPr>
      </w:pPr>
    </w:p>
    <w:p>
      <w:pPr>
        <w:pStyle w:val="BodyText"/>
        <w:spacing w:line="360" w:lineRule="auto"/>
        <w:ind w:left="121" w:right="118"/>
      </w:pPr>
      <w:r>
        <w:rPr/>
        <w:t>Both names of the azo dyes should be given, due to different practices in different countries, e.g.: FD&amp;C Yellow #5/Tartrazine</w:t>
      </w:r>
    </w:p>
    <w:p>
      <w:pPr>
        <w:pStyle w:val="BodyText"/>
        <w:spacing w:before="1"/>
        <w:rPr>
          <w:sz w:val="30"/>
        </w:rPr>
      </w:pPr>
    </w:p>
    <w:p>
      <w:pPr>
        <w:pStyle w:val="BodyText"/>
        <w:ind w:left="121"/>
      </w:pPr>
      <w:r>
        <w:rPr/>
        <w:t>{For a full list of excipients, see section 6.1}</w:t>
      </w:r>
    </w:p>
    <w:p>
      <w:pPr>
        <w:pStyle w:val="BodyText"/>
        <w:rPr>
          <w:sz w:val="24"/>
        </w:rPr>
      </w:pPr>
    </w:p>
    <w:p>
      <w:pPr>
        <w:pStyle w:val="BodyText"/>
        <w:rPr>
          <w:sz w:val="24"/>
        </w:rPr>
      </w:pPr>
    </w:p>
    <w:p>
      <w:pPr>
        <w:pStyle w:val="BodyText"/>
        <w:spacing w:before="8"/>
        <w:rPr>
          <w:sz w:val="22"/>
        </w:rPr>
      </w:pPr>
    </w:p>
    <w:p>
      <w:pPr>
        <w:pStyle w:val="Heading3"/>
        <w:numPr>
          <w:ilvl w:val="0"/>
          <w:numId w:val="1"/>
        </w:numPr>
        <w:tabs>
          <w:tab w:pos="764" w:val="left" w:leader="none"/>
          <w:tab w:pos="765" w:val="left" w:leader="none"/>
        </w:tabs>
        <w:spacing w:line="240" w:lineRule="auto" w:before="1" w:after="0"/>
        <w:ind w:left="764" w:right="0" w:hanging="658"/>
        <w:jc w:val="left"/>
      </w:pPr>
      <w:bookmarkStart w:name="3.  PHARMACEUTICAL FORM" w:id="3"/>
      <w:bookmarkEnd w:id="3"/>
      <w:r>
        <w:rPr>
          <w:b w:val="0"/>
        </w:rPr>
      </w:r>
      <w:bookmarkStart w:name="3.  PHARMACEUTICAL FORM" w:id="4"/>
      <w:bookmarkEnd w:id="4"/>
      <w:r>
        <w:rPr/>
        <w:t>P</w:t>
      </w:r>
      <w:r>
        <w:rPr/>
        <w:t>HARMACEUTICAL</w:t>
      </w:r>
      <w:r>
        <w:rPr>
          <w:spacing w:val="0"/>
        </w:rPr>
        <w:t> </w:t>
      </w:r>
      <w:r>
        <w:rPr/>
        <w:t>FORM</w:t>
      </w:r>
    </w:p>
    <w:p>
      <w:pPr>
        <w:spacing w:line="343" w:lineRule="auto" w:before="111"/>
        <w:ind w:left="121" w:right="0" w:firstLine="62"/>
        <w:jc w:val="left"/>
        <w:rPr>
          <w:i/>
          <w:sz w:val="21"/>
        </w:rPr>
      </w:pPr>
      <w:r>
        <w:rPr>
          <w:i/>
          <w:sz w:val="21"/>
        </w:rPr>
        <w:t>[Include</w:t>
      </w:r>
      <w:r>
        <w:rPr>
          <w:i/>
          <w:spacing w:val="-50"/>
          <w:sz w:val="21"/>
        </w:rPr>
        <w:t> </w:t>
      </w:r>
      <w:r>
        <w:rPr>
          <w:i/>
          <w:sz w:val="21"/>
        </w:rPr>
        <w:t>a</w:t>
      </w:r>
      <w:r>
        <w:rPr>
          <w:i/>
          <w:spacing w:val="-50"/>
          <w:sz w:val="21"/>
        </w:rPr>
        <w:t> </w:t>
      </w:r>
      <w:r>
        <w:rPr>
          <w:i/>
          <w:sz w:val="21"/>
        </w:rPr>
        <w:t>description</w:t>
      </w:r>
      <w:r>
        <w:rPr>
          <w:i/>
          <w:spacing w:val="-51"/>
          <w:sz w:val="21"/>
        </w:rPr>
        <w:t> </w:t>
      </w:r>
      <w:r>
        <w:rPr>
          <w:i/>
          <w:sz w:val="21"/>
        </w:rPr>
        <w:t>of</w:t>
      </w:r>
      <w:r>
        <w:rPr>
          <w:i/>
          <w:spacing w:val="-51"/>
          <w:sz w:val="21"/>
        </w:rPr>
        <w:t> </w:t>
      </w:r>
      <w:r>
        <w:rPr>
          <w:i/>
          <w:sz w:val="21"/>
        </w:rPr>
        <w:t>the</w:t>
      </w:r>
      <w:r>
        <w:rPr>
          <w:i/>
          <w:spacing w:val="-50"/>
          <w:sz w:val="21"/>
        </w:rPr>
        <w:t> </w:t>
      </w:r>
      <w:r>
        <w:rPr>
          <w:i/>
          <w:sz w:val="21"/>
        </w:rPr>
        <w:t>visual</w:t>
      </w:r>
      <w:r>
        <w:rPr>
          <w:i/>
          <w:spacing w:val="-50"/>
          <w:sz w:val="21"/>
        </w:rPr>
        <w:t> </w:t>
      </w:r>
      <w:r>
        <w:rPr>
          <w:i/>
          <w:sz w:val="21"/>
        </w:rPr>
        <w:t>appearance</w:t>
      </w:r>
      <w:r>
        <w:rPr>
          <w:i/>
          <w:spacing w:val="-50"/>
          <w:sz w:val="21"/>
        </w:rPr>
        <w:t> </w:t>
      </w:r>
      <w:r>
        <w:rPr>
          <w:i/>
          <w:sz w:val="21"/>
        </w:rPr>
        <w:t>of</w:t>
      </w:r>
      <w:r>
        <w:rPr>
          <w:i/>
          <w:spacing w:val="-51"/>
          <w:sz w:val="21"/>
        </w:rPr>
        <w:t> </w:t>
      </w:r>
      <w:r>
        <w:rPr>
          <w:i/>
          <w:sz w:val="21"/>
        </w:rPr>
        <w:t>the</w:t>
      </w:r>
      <w:r>
        <w:rPr>
          <w:i/>
          <w:spacing w:val="-50"/>
          <w:sz w:val="21"/>
        </w:rPr>
        <w:t> </w:t>
      </w:r>
      <w:r>
        <w:rPr>
          <w:i/>
          <w:sz w:val="21"/>
        </w:rPr>
        <w:t>product</w:t>
      </w:r>
      <w:r>
        <w:rPr>
          <w:i/>
          <w:spacing w:val="-50"/>
          <w:sz w:val="21"/>
        </w:rPr>
        <w:t> </w:t>
      </w:r>
      <w:r>
        <w:rPr>
          <w:i/>
          <w:sz w:val="21"/>
        </w:rPr>
        <w:t>pharmaceutical</w:t>
      </w:r>
      <w:r>
        <w:rPr>
          <w:i/>
          <w:spacing w:val="-50"/>
          <w:sz w:val="21"/>
        </w:rPr>
        <w:t> </w:t>
      </w:r>
      <w:r>
        <w:rPr>
          <w:i/>
          <w:sz w:val="21"/>
        </w:rPr>
        <w:t>form</w:t>
      </w:r>
      <w:r>
        <w:rPr>
          <w:i/>
          <w:spacing w:val="-49"/>
          <w:sz w:val="21"/>
        </w:rPr>
        <w:t> </w:t>
      </w:r>
      <w:r>
        <w:rPr>
          <w:i/>
          <w:sz w:val="21"/>
        </w:rPr>
        <w:t>as</w:t>
      </w:r>
      <w:r>
        <w:rPr>
          <w:i/>
          <w:spacing w:val="-50"/>
          <w:sz w:val="21"/>
        </w:rPr>
        <w:t> </w:t>
      </w:r>
      <w:r>
        <w:rPr>
          <w:i/>
          <w:sz w:val="21"/>
        </w:rPr>
        <w:t>marketed,</w:t>
      </w:r>
      <w:r>
        <w:rPr>
          <w:i/>
          <w:spacing w:val="-50"/>
          <w:sz w:val="21"/>
        </w:rPr>
        <w:t> </w:t>
      </w:r>
      <w:r>
        <w:rPr>
          <w:i/>
          <w:sz w:val="21"/>
        </w:rPr>
        <w:t>including information on pH and osmolarity as</w:t>
      </w:r>
      <w:r>
        <w:rPr>
          <w:i/>
          <w:spacing w:val="-37"/>
          <w:sz w:val="21"/>
        </w:rPr>
        <w:t> </w:t>
      </w:r>
      <w:r>
        <w:rPr>
          <w:i/>
          <w:sz w:val="21"/>
        </w:rPr>
        <w:t>required.</w:t>
      </w:r>
    </w:p>
    <w:p>
      <w:pPr>
        <w:pStyle w:val="BodyText"/>
        <w:spacing w:before="9"/>
        <w:rPr>
          <w:i/>
          <w:sz w:val="29"/>
        </w:rPr>
      </w:pPr>
    </w:p>
    <w:p>
      <w:pPr>
        <w:spacing w:before="0"/>
        <w:ind w:left="121" w:right="0" w:firstLine="0"/>
        <w:jc w:val="left"/>
        <w:rPr>
          <w:i/>
          <w:sz w:val="21"/>
        </w:rPr>
      </w:pPr>
      <w:r>
        <w:rPr>
          <w:i/>
          <w:sz w:val="21"/>
        </w:rPr>
        <w:t>Information on appearance of reconstituted parenteral solution should appear under section 6.6.]</w:t>
      </w:r>
    </w:p>
    <w:p>
      <w:pPr>
        <w:pStyle w:val="BodyText"/>
        <w:rPr>
          <w:i/>
        </w:rPr>
      </w:pPr>
    </w:p>
    <w:p>
      <w:pPr>
        <w:pStyle w:val="BodyText"/>
        <w:rPr>
          <w:i/>
        </w:rPr>
      </w:pPr>
    </w:p>
    <w:p>
      <w:pPr>
        <w:pStyle w:val="BodyText"/>
        <w:rPr>
          <w:i/>
        </w:rPr>
      </w:pPr>
    </w:p>
    <w:p>
      <w:pPr>
        <w:pStyle w:val="BodyText"/>
        <w:rPr>
          <w:i/>
        </w:rPr>
      </w:pPr>
    </w:p>
    <w:p>
      <w:pPr>
        <w:pStyle w:val="BodyText"/>
        <w:rPr>
          <w:i/>
          <w:sz w:val="10"/>
        </w:rPr>
      </w:pPr>
      <w:r>
        <w:rPr/>
        <w:pict>
          <v:line style="position:absolute;mso-position-horizontal-relative:page;mso-position-vertical-relative:paragraph;z-index:0;mso-wrap-distance-left:0;mso-wrap-distance-right:0" from="71.064003pt,8.262065pt" to="215.084003pt,8.262065pt" stroked="true" strokeweight=".47998pt" strokecolor="#000000">
            <v:stroke dashstyle="solid"/>
            <w10:wrap type="topAndBottom"/>
          </v:line>
        </w:pict>
      </w:r>
    </w:p>
    <w:p>
      <w:pPr>
        <w:spacing w:after="0"/>
        <w:rPr>
          <w:sz w:val="10"/>
        </w:rPr>
        <w:sectPr>
          <w:pgSz w:w="11910" w:h="16850"/>
          <w:pgMar w:header="0" w:footer="944" w:top="1600" w:bottom="1220" w:left="1300" w:right="1120"/>
        </w:sectPr>
      </w:pPr>
    </w:p>
    <w:p>
      <w:pPr>
        <w:pStyle w:val="BodyText"/>
        <w:rPr>
          <w:i/>
        </w:rPr>
      </w:pPr>
    </w:p>
    <w:p>
      <w:pPr>
        <w:pStyle w:val="BodyText"/>
        <w:rPr>
          <w:i/>
        </w:rPr>
      </w:pPr>
    </w:p>
    <w:p>
      <w:pPr>
        <w:pStyle w:val="BodyText"/>
        <w:rPr>
          <w:i/>
        </w:rPr>
      </w:pPr>
    </w:p>
    <w:p>
      <w:pPr>
        <w:pStyle w:val="BodyText"/>
        <w:rPr>
          <w:i/>
        </w:rPr>
      </w:pPr>
    </w:p>
    <w:p>
      <w:pPr>
        <w:pStyle w:val="BodyText"/>
        <w:spacing w:before="3"/>
        <w:rPr>
          <w:i/>
          <w:sz w:val="29"/>
        </w:rPr>
      </w:pPr>
    </w:p>
    <w:p>
      <w:pPr>
        <w:pStyle w:val="BodyText"/>
        <w:spacing w:line="360" w:lineRule="auto" w:before="99"/>
        <w:ind w:left="121" w:right="115"/>
      </w:pPr>
      <w:r>
        <w:rPr/>
        <w:t>[e.g.: White coloured, biconvex capsule-shaped film-coated tablet having a score on one side and “XL 5” debossed on the other side.]</w:t>
      </w:r>
    </w:p>
    <w:p>
      <w:pPr>
        <w:pStyle w:val="BodyText"/>
        <w:spacing w:before="5"/>
        <w:rPr>
          <w:sz w:val="30"/>
        </w:rPr>
      </w:pPr>
    </w:p>
    <w:p>
      <w:pPr>
        <w:pStyle w:val="BodyText"/>
        <w:spacing w:before="1"/>
        <w:ind w:left="106"/>
      </w:pPr>
      <w:r>
        <w:rPr/>
        <w:t>&lt;The scoreline is only to facilitate breaking for ease of swallowing and not to divide into equal doses.&gt;</w:t>
      </w:r>
    </w:p>
    <w:p>
      <w:pPr>
        <w:pStyle w:val="BodyText"/>
        <w:rPr>
          <w:sz w:val="24"/>
        </w:rPr>
      </w:pPr>
    </w:p>
    <w:p>
      <w:pPr>
        <w:pStyle w:val="BodyText"/>
        <w:spacing w:before="198"/>
        <w:ind w:left="106"/>
      </w:pPr>
      <w:r>
        <w:rPr/>
        <w:t>&lt;The tablet can be divided into equal halves.&gt;</w:t>
      </w:r>
    </w:p>
    <w:p>
      <w:pPr>
        <w:pStyle w:val="BodyText"/>
        <w:rPr>
          <w:sz w:val="24"/>
        </w:rPr>
      </w:pPr>
    </w:p>
    <w:p>
      <w:pPr>
        <w:pStyle w:val="BodyText"/>
        <w:spacing w:before="199"/>
        <w:ind w:left="106"/>
      </w:pPr>
      <w:r>
        <w:rPr/>
        <w:t>&lt;The tablet should not be divided.&gt;</w:t>
      </w:r>
    </w:p>
    <w:p>
      <w:pPr>
        <w:pStyle w:val="BodyText"/>
        <w:rPr>
          <w:sz w:val="24"/>
        </w:rPr>
      </w:pPr>
    </w:p>
    <w:p>
      <w:pPr>
        <w:pStyle w:val="BodyText"/>
        <w:spacing w:line="360" w:lineRule="auto" w:before="199"/>
        <w:ind w:left="130" w:right="119" w:firstLine="52"/>
        <w:jc w:val="both"/>
      </w:pPr>
      <w:r>
        <w:rPr/>
        <w:t>[Product</w:t>
      </w:r>
      <w:r>
        <w:rPr>
          <w:spacing w:val="-18"/>
        </w:rPr>
        <w:t> </w:t>
      </w:r>
      <w:r>
        <w:rPr/>
        <w:t>scoring</w:t>
      </w:r>
      <w:r>
        <w:rPr>
          <w:spacing w:val="-18"/>
        </w:rPr>
        <w:t> </w:t>
      </w:r>
      <w:r>
        <w:rPr/>
        <w:t>may</w:t>
      </w:r>
      <w:r>
        <w:rPr>
          <w:spacing w:val="-19"/>
        </w:rPr>
        <w:t> </w:t>
      </w:r>
      <w:r>
        <w:rPr/>
        <w:t>be</w:t>
      </w:r>
      <w:r>
        <w:rPr>
          <w:spacing w:val="-17"/>
        </w:rPr>
        <w:t> </w:t>
      </w:r>
      <w:r>
        <w:rPr/>
        <w:t>recommended</w:t>
      </w:r>
      <w:r>
        <w:rPr>
          <w:spacing w:val="-18"/>
        </w:rPr>
        <w:t> </w:t>
      </w:r>
      <w:r>
        <w:rPr/>
        <w:t>or</w:t>
      </w:r>
      <w:r>
        <w:rPr>
          <w:spacing w:val="-18"/>
        </w:rPr>
        <w:t> </w:t>
      </w:r>
      <w:r>
        <w:rPr/>
        <w:t>required</w:t>
      </w:r>
      <w:r>
        <w:rPr>
          <w:spacing w:val="-18"/>
        </w:rPr>
        <w:t> </w:t>
      </w:r>
      <w:r>
        <w:rPr/>
        <w:t>when</w:t>
      </w:r>
      <w:r>
        <w:rPr>
          <w:spacing w:val="-19"/>
        </w:rPr>
        <w:t> </w:t>
      </w:r>
      <w:r>
        <w:rPr/>
        <w:t>a</w:t>
      </w:r>
      <w:r>
        <w:rPr>
          <w:spacing w:val="-17"/>
        </w:rPr>
        <w:t> </w:t>
      </w:r>
      <w:r>
        <w:rPr/>
        <w:t>WHO</w:t>
      </w:r>
      <w:r>
        <w:rPr>
          <w:spacing w:val="-13"/>
        </w:rPr>
        <w:t> </w:t>
      </w:r>
      <w:r>
        <w:rPr/>
        <w:t>Prequalified</w:t>
      </w:r>
      <w:r>
        <w:rPr>
          <w:spacing w:val="-17"/>
        </w:rPr>
        <w:t> </w:t>
      </w:r>
      <w:r>
        <w:rPr/>
        <w:t>product</w:t>
      </w:r>
      <w:r>
        <w:rPr>
          <w:spacing w:val="-18"/>
        </w:rPr>
        <w:t> </w:t>
      </w:r>
      <w:r>
        <w:rPr/>
        <w:t>is</w:t>
      </w:r>
      <w:r>
        <w:rPr>
          <w:spacing w:val="-18"/>
        </w:rPr>
        <w:t> </w:t>
      </w:r>
      <w:r>
        <w:rPr/>
        <w:t>scored,</w:t>
      </w:r>
      <w:r>
        <w:rPr>
          <w:spacing w:val="-18"/>
        </w:rPr>
        <w:t> </w:t>
      </w:r>
      <w:r>
        <w:rPr/>
        <w:t>or</w:t>
      </w:r>
      <w:r>
        <w:rPr>
          <w:spacing w:val="-18"/>
        </w:rPr>
        <w:t> </w:t>
      </w:r>
      <w:r>
        <w:rPr/>
        <w:t>scoring is specified for an innovator or comparator product(s), or when division into fractional doses may be necessary according to recommended</w:t>
      </w:r>
      <w:r>
        <w:rPr>
          <w:spacing w:val="-5"/>
        </w:rPr>
        <w:t> </w:t>
      </w:r>
      <w:r>
        <w:rPr/>
        <w:t>posology.</w:t>
      </w:r>
    </w:p>
    <w:p>
      <w:pPr>
        <w:pStyle w:val="BodyText"/>
        <w:spacing w:before="1"/>
        <w:rPr>
          <w:sz w:val="30"/>
        </w:rPr>
      </w:pPr>
    </w:p>
    <w:p>
      <w:pPr>
        <w:pStyle w:val="Heading3"/>
        <w:numPr>
          <w:ilvl w:val="0"/>
          <w:numId w:val="1"/>
        </w:numPr>
        <w:tabs>
          <w:tab w:pos="802" w:val="left" w:leader="none"/>
          <w:tab w:pos="803" w:val="left" w:leader="none"/>
        </w:tabs>
        <w:spacing w:line="240" w:lineRule="auto" w:before="0" w:after="0"/>
        <w:ind w:left="802" w:right="0" w:hanging="696"/>
        <w:jc w:val="left"/>
      </w:pPr>
      <w:bookmarkStart w:name="4.  Clinical particulars" w:id="5"/>
      <w:bookmarkEnd w:id="5"/>
      <w:r>
        <w:rPr>
          <w:b w:val="0"/>
        </w:rPr>
      </w:r>
      <w:bookmarkStart w:name="4.  Clinical particulars" w:id="6"/>
      <w:bookmarkEnd w:id="6"/>
      <w:r>
        <w:rPr/>
        <w:t>C</w:t>
      </w:r>
      <w:r>
        <w:rPr/>
        <w:t>linical particulars</w:t>
      </w:r>
    </w:p>
    <w:p>
      <w:pPr>
        <w:pStyle w:val="BodyText"/>
        <w:rPr>
          <w:b/>
          <w:sz w:val="24"/>
        </w:rPr>
      </w:pPr>
    </w:p>
    <w:p>
      <w:pPr>
        <w:pStyle w:val="ListParagraph"/>
        <w:numPr>
          <w:ilvl w:val="1"/>
          <w:numId w:val="1"/>
        </w:numPr>
        <w:tabs>
          <w:tab w:pos="629" w:val="left" w:leader="none"/>
          <w:tab w:pos="631" w:val="left" w:leader="none"/>
        </w:tabs>
        <w:spacing w:line="240" w:lineRule="auto" w:before="196" w:after="0"/>
        <w:ind w:left="630" w:right="0" w:hanging="524"/>
        <w:jc w:val="left"/>
        <w:rPr>
          <w:b/>
          <w:sz w:val="20"/>
        </w:rPr>
      </w:pPr>
      <w:bookmarkStart w:name="4.1  Therapeutic indications" w:id="7"/>
      <w:bookmarkEnd w:id="7"/>
      <w:r>
        <w:rPr/>
      </w:r>
      <w:bookmarkStart w:name="4.1  Therapeutic indications" w:id="8"/>
      <w:bookmarkEnd w:id="8"/>
      <w:r>
        <w:rPr>
          <w:b/>
          <w:sz w:val="20"/>
        </w:rPr>
        <w:t>Thera</w:t>
      </w:r>
      <w:r>
        <w:rPr>
          <w:b/>
          <w:sz w:val="20"/>
        </w:rPr>
        <w:t>peutic</w:t>
      </w:r>
      <w:r>
        <w:rPr>
          <w:b/>
          <w:spacing w:val="-2"/>
          <w:sz w:val="20"/>
        </w:rPr>
        <w:t> </w:t>
      </w:r>
      <w:r>
        <w:rPr>
          <w:b/>
          <w:sz w:val="20"/>
        </w:rPr>
        <w:t>indications</w:t>
      </w:r>
    </w:p>
    <w:p>
      <w:pPr>
        <w:pStyle w:val="BodyText"/>
        <w:spacing w:before="121"/>
        <w:ind w:left="183"/>
      </w:pPr>
      <w:r>
        <w:rPr/>
        <w:t>&lt; {Product name, strength, dosage form} is indicated in &lt;adults&gt; &lt;neonates&gt; &lt;infants&gt; &lt;children&gt;</w:t>
      </w:r>
    </w:p>
    <w:p>
      <w:pPr>
        <w:pStyle w:val="BodyText"/>
        <w:spacing w:before="121"/>
        <w:ind w:left="121"/>
      </w:pPr>
      <w:r>
        <w:rPr/>
        <w:t>&lt;adolescents&gt; &lt;aged {x to y}&gt; &lt;years&gt; &lt;months&gt;&gt;.&gt;</w:t>
      </w:r>
    </w:p>
    <w:p>
      <w:pPr>
        <w:pStyle w:val="BodyText"/>
        <w:rPr>
          <w:sz w:val="24"/>
        </w:rPr>
      </w:pPr>
    </w:p>
    <w:p>
      <w:pPr>
        <w:pStyle w:val="Heading3"/>
        <w:numPr>
          <w:ilvl w:val="1"/>
          <w:numId w:val="1"/>
        </w:numPr>
        <w:tabs>
          <w:tab w:pos="597" w:val="left" w:leader="none"/>
        </w:tabs>
        <w:spacing w:line="240" w:lineRule="auto" w:before="196" w:after="0"/>
        <w:ind w:left="596" w:right="0" w:hanging="490"/>
        <w:jc w:val="left"/>
      </w:pPr>
      <w:bookmarkStart w:name="4.2  Posology and method of administrati" w:id="9"/>
      <w:bookmarkEnd w:id="9"/>
      <w:r>
        <w:rPr>
          <w:b w:val="0"/>
        </w:rPr>
      </w:r>
      <w:bookmarkStart w:name="4.2  Posology and method of administrati" w:id="10"/>
      <w:bookmarkEnd w:id="10"/>
      <w:r>
        <w:rPr/>
        <w:t>P</w:t>
      </w:r>
      <w:r>
        <w:rPr/>
        <w:t>osology and method of</w:t>
      </w:r>
      <w:r>
        <w:rPr>
          <w:spacing w:val="-26"/>
        </w:rPr>
        <w:t> </w:t>
      </w:r>
      <w:r>
        <w:rPr/>
        <w:t>administration</w:t>
      </w:r>
    </w:p>
    <w:p>
      <w:pPr>
        <w:pStyle w:val="BodyText"/>
        <w:spacing w:before="121"/>
        <w:ind w:left="178"/>
      </w:pPr>
      <w:r>
        <w:rPr>
          <w:u w:val="single"/>
        </w:rPr>
        <w:t>Posology</w:t>
      </w:r>
    </w:p>
    <w:p>
      <w:pPr>
        <w:pStyle w:val="Heading2"/>
        <w:spacing w:before="111"/>
        <w:ind w:left="183"/>
      </w:pPr>
      <w:r>
        <w:rPr/>
        <w:t>Pediatric population</w:t>
      </w:r>
    </w:p>
    <w:p>
      <w:pPr>
        <w:pStyle w:val="BodyText"/>
        <w:spacing w:line="360" w:lineRule="auto" w:before="119"/>
        <w:ind w:left="121" w:firstLine="62"/>
      </w:pPr>
      <w:r>
        <w:rPr/>
        <w:t>&lt;The &lt;safety&gt; &lt;and&gt; &lt;efficacy&gt; of {X} in children aged {x to y} &lt;months&gt; &lt;years&gt; {or any other relevant subsets e.g. weight, pubertal age, gender} &lt;has&gt; &lt;have&gt; not &lt;yet&gt; been established.&gt;</w:t>
      </w:r>
    </w:p>
    <w:p>
      <w:pPr>
        <w:pStyle w:val="BodyText"/>
        <w:spacing w:before="11"/>
        <w:rPr>
          <w:sz w:val="29"/>
        </w:rPr>
      </w:pPr>
    </w:p>
    <w:p>
      <w:pPr>
        <w:pStyle w:val="BodyText"/>
        <w:spacing w:line="360" w:lineRule="auto"/>
        <w:ind w:left="116" w:right="261" w:hanging="10"/>
      </w:pPr>
      <w:r>
        <w:rPr/>
        <w:t>&lt;No data are available.&gt; &lt;Currently available data are described in Section &lt;4.8&gt; &lt;5.1&gt; &lt;5.2&gt; but no recommendation on a posology can be made.&gt;</w:t>
      </w:r>
    </w:p>
    <w:p>
      <w:pPr>
        <w:pStyle w:val="BodyText"/>
        <w:spacing w:before="8"/>
        <w:rPr>
          <w:sz w:val="29"/>
        </w:rPr>
      </w:pPr>
    </w:p>
    <w:p>
      <w:pPr>
        <w:pStyle w:val="BodyText"/>
        <w:ind w:left="106"/>
      </w:pPr>
      <w:r>
        <w:rPr>
          <w:i/>
          <w:sz w:val="21"/>
        </w:rPr>
        <w:t>&lt; {</w:t>
      </w:r>
      <w:r>
        <w:rPr/>
        <w:t>Product name, strength, dosage form} should not be used in children aged {x to y} &lt;years&gt;</w:t>
      </w:r>
    </w:p>
    <w:p>
      <w:pPr>
        <w:pStyle w:val="BodyText"/>
        <w:spacing w:before="119"/>
        <w:ind w:left="116"/>
      </w:pPr>
      <w:r>
        <w:rPr/>
        <w:t>&lt;months&gt; {or any other relevant subsets e.g. weight, pubertal age, gender} because of &lt;safety&gt;</w:t>
      </w:r>
    </w:p>
    <w:p>
      <w:pPr>
        <w:pStyle w:val="BodyText"/>
        <w:spacing w:before="111"/>
        <w:ind w:left="116"/>
        <w:rPr>
          <w:i/>
          <w:sz w:val="21"/>
        </w:rPr>
      </w:pPr>
      <w:r>
        <w:rPr/>
        <w:t>&lt;efficacy&gt; concern(s</w:t>
      </w:r>
      <w:r>
        <w:rPr>
          <w:i/>
          <w:sz w:val="21"/>
        </w:rPr>
        <w:t>).&gt;</w:t>
      </w:r>
    </w:p>
    <w:p>
      <w:pPr>
        <w:pStyle w:val="BodyText"/>
        <w:rPr>
          <w:i/>
          <w:sz w:val="24"/>
        </w:rPr>
      </w:pPr>
    </w:p>
    <w:p>
      <w:pPr>
        <w:pStyle w:val="BodyText"/>
        <w:spacing w:line="360" w:lineRule="auto" w:before="197"/>
        <w:ind w:left="116" w:right="261" w:hanging="10"/>
      </w:pPr>
      <w:r>
        <w:rPr/>
        <w:t>&lt;There is no relevant use of {product name, strength, dosage form} &lt;in the pediatric population&gt; &lt;in children aged {x to y} &lt;years&gt;,</w:t>
      </w:r>
    </w:p>
    <w:p>
      <w:pPr>
        <w:pStyle w:val="BodyText"/>
        <w:spacing w:before="3"/>
        <w:ind w:left="106"/>
      </w:pPr>
      <w:r>
        <w:rPr/>
        <w:t>&lt;Months&gt; {or any other relevant subsets e.g. weight, pubertal age, gender} &lt;in the indication...&gt;</w:t>
      </w:r>
    </w:p>
    <w:p>
      <w:pPr>
        <w:spacing w:after="0"/>
        <w:sectPr>
          <w:pgSz w:w="11910" w:h="16850"/>
          <w:pgMar w:header="0" w:footer="944" w:top="1600" w:bottom="1140" w:left="1300" w:right="1120"/>
        </w:sectPr>
      </w:pPr>
    </w:p>
    <w:p>
      <w:pPr>
        <w:pStyle w:val="BodyText"/>
      </w:pPr>
    </w:p>
    <w:p>
      <w:pPr>
        <w:pStyle w:val="BodyText"/>
      </w:pPr>
    </w:p>
    <w:p>
      <w:pPr>
        <w:pStyle w:val="BodyText"/>
      </w:pPr>
    </w:p>
    <w:p>
      <w:pPr>
        <w:pStyle w:val="BodyText"/>
      </w:pPr>
    </w:p>
    <w:p>
      <w:pPr>
        <w:pStyle w:val="BodyText"/>
        <w:spacing w:before="3"/>
        <w:rPr>
          <w:sz w:val="29"/>
        </w:rPr>
      </w:pPr>
    </w:p>
    <w:p>
      <w:pPr>
        <w:pStyle w:val="BodyText"/>
        <w:spacing w:before="99"/>
        <w:ind w:left="106"/>
      </w:pPr>
      <w:r>
        <w:rPr/>
        <w:t>&lt; {Product name, strength, dosage form} is</w:t>
      </w:r>
      <w:r>
        <w:rPr>
          <w:spacing w:val="51"/>
        </w:rPr>
        <w:t> </w:t>
      </w:r>
      <w:r>
        <w:rPr/>
        <w:t>contraindicated in children aged {x to y} &lt;years&gt;</w:t>
      </w:r>
    </w:p>
    <w:p>
      <w:pPr>
        <w:pStyle w:val="BodyText"/>
        <w:spacing w:line="360" w:lineRule="auto" w:before="121"/>
        <w:ind w:left="116"/>
      </w:pPr>
      <w:r>
        <w:rPr/>
        <w:t>&lt;months&gt;</w:t>
      </w:r>
      <w:r>
        <w:rPr>
          <w:spacing w:val="-11"/>
        </w:rPr>
        <w:t> </w:t>
      </w:r>
      <w:r>
        <w:rPr/>
        <w:t>{or</w:t>
      </w:r>
      <w:r>
        <w:rPr>
          <w:spacing w:val="-9"/>
        </w:rPr>
        <w:t> </w:t>
      </w:r>
      <w:r>
        <w:rPr/>
        <w:t>any</w:t>
      </w:r>
      <w:r>
        <w:rPr>
          <w:spacing w:val="-11"/>
        </w:rPr>
        <w:t> </w:t>
      </w:r>
      <w:r>
        <w:rPr/>
        <w:t>other</w:t>
      </w:r>
      <w:r>
        <w:rPr>
          <w:spacing w:val="-9"/>
        </w:rPr>
        <w:t> </w:t>
      </w:r>
      <w:r>
        <w:rPr/>
        <w:t>relevant</w:t>
      </w:r>
      <w:r>
        <w:rPr>
          <w:spacing w:val="-10"/>
        </w:rPr>
        <w:t> </w:t>
      </w:r>
      <w:r>
        <w:rPr/>
        <w:t>subsets</w:t>
      </w:r>
      <w:r>
        <w:rPr>
          <w:spacing w:val="-10"/>
        </w:rPr>
        <w:t> </w:t>
      </w:r>
      <w:r>
        <w:rPr/>
        <w:t>e.g.</w:t>
      </w:r>
      <w:r>
        <w:rPr>
          <w:spacing w:val="-10"/>
        </w:rPr>
        <w:t> </w:t>
      </w:r>
      <w:r>
        <w:rPr/>
        <w:t>weight,</w:t>
      </w:r>
      <w:r>
        <w:rPr>
          <w:spacing w:val="-7"/>
        </w:rPr>
        <w:t> </w:t>
      </w:r>
      <w:r>
        <w:rPr/>
        <w:t>pubertal</w:t>
      </w:r>
      <w:r>
        <w:rPr>
          <w:spacing w:val="-10"/>
        </w:rPr>
        <w:t> </w:t>
      </w:r>
      <w:r>
        <w:rPr/>
        <w:t>age,</w:t>
      </w:r>
      <w:r>
        <w:rPr>
          <w:spacing w:val="-10"/>
        </w:rPr>
        <w:t> </w:t>
      </w:r>
      <w:r>
        <w:rPr/>
        <w:t>gender}</w:t>
      </w:r>
      <w:r>
        <w:rPr>
          <w:spacing w:val="-9"/>
        </w:rPr>
        <w:t> </w:t>
      </w:r>
      <w:r>
        <w:rPr/>
        <w:t>&lt;in</w:t>
      </w:r>
      <w:r>
        <w:rPr>
          <w:spacing w:val="-11"/>
        </w:rPr>
        <w:t> </w:t>
      </w:r>
      <w:r>
        <w:rPr/>
        <w:t>the</w:t>
      </w:r>
      <w:r>
        <w:rPr>
          <w:spacing w:val="-9"/>
        </w:rPr>
        <w:t> </w:t>
      </w:r>
      <w:r>
        <w:rPr/>
        <w:t>indication...&gt;</w:t>
      </w:r>
      <w:r>
        <w:rPr>
          <w:spacing w:val="-11"/>
        </w:rPr>
        <w:t> </w:t>
      </w:r>
      <w:r>
        <w:rPr/>
        <w:t>(see Section 4.3).&gt;</w:t>
      </w:r>
    </w:p>
    <w:p>
      <w:pPr>
        <w:pStyle w:val="BodyText"/>
        <w:spacing w:before="5"/>
        <w:rPr>
          <w:sz w:val="30"/>
        </w:rPr>
      </w:pPr>
    </w:p>
    <w:p>
      <w:pPr>
        <w:pStyle w:val="BodyText"/>
        <w:spacing w:before="1"/>
        <w:ind w:left="106"/>
      </w:pPr>
      <w:r>
        <w:rPr>
          <w:u w:val="single"/>
        </w:rPr>
        <w:t>Method of administration</w:t>
      </w:r>
    </w:p>
    <w:p>
      <w:pPr>
        <w:pStyle w:val="BodyText"/>
      </w:pPr>
    </w:p>
    <w:p>
      <w:pPr>
        <w:pStyle w:val="BodyText"/>
        <w:spacing w:before="3"/>
      </w:pPr>
    </w:p>
    <w:p>
      <w:pPr>
        <w:pStyle w:val="Heading3"/>
        <w:numPr>
          <w:ilvl w:val="1"/>
          <w:numId w:val="1"/>
        </w:numPr>
        <w:tabs>
          <w:tab w:pos="649" w:val="left" w:leader="none"/>
          <w:tab w:pos="650" w:val="left" w:leader="none"/>
        </w:tabs>
        <w:spacing w:line="240" w:lineRule="auto" w:before="0" w:after="0"/>
        <w:ind w:left="649" w:right="0" w:hanging="543"/>
        <w:jc w:val="left"/>
      </w:pPr>
      <w:r>
        <w:rPr/>
        <w:t>Contraindications</w:t>
      </w:r>
    </w:p>
    <w:p>
      <w:pPr>
        <w:pStyle w:val="BodyText"/>
        <w:spacing w:before="121"/>
        <w:ind w:left="183"/>
      </w:pPr>
      <w:r>
        <w:rPr/>
        <w:t>&lt;Hypersensitivity to the active substance(s) or to any of the excipients &lt;or {name of the residue(s)}&gt;.&gt;</w:t>
      </w:r>
    </w:p>
    <w:p>
      <w:pPr>
        <w:pStyle w:val="BodyText"/>
        <w:rPr>
          <w:sz w:val="24"/>
        </w:rPr>
      </w:pPr>
    </w:p>
    <w:p>
      <w:pPr>
        <w:pStyle w:val="Heading3"/>
        <w:numPr>
          <w:ilvl w:val="1"/>
          <w:numId w:val="1"/>
        </w:numPr>
        <w:tabs>
          <w:tab w:pos="597" w:val="left" w:leader="none"/>
        </w:tabs>
        <w:spacing w:line="240" w:lineRule="auto" w:before="196" w:after="0"/>
        <w:ind w:left="596" w:right="0" w:hanging="490"/>
        <w:jc w:val="left"/>
      </w:pPr>
      <w:r>
        <w:rPr/>
        <w:t>Special warnings and precautions for</w:t>
      </w:r>
      <w:r>
        <w:rPr>
          <w:spacing w:val="-3"/>
        </w:rPr>
        <w:t> </w:t>
      </w:r>
      <w:r>
        <w:rPr/>
        <w:t>use</w:t>
      </w:r>
    </w:p>
    <w:p>
      <w:pPr>
        <w:pStyle w:val="BodyText"/>
        <w:rPr>
          <w:b/>
          <w:sz w:val="24"/>
        </w:rPr>
      </w:pPr>
    </w:p>
    <w:p>
      <w:pPr>
        <w:pStyle w:val="ListParagraph"/>
        <w:numPr>
          <w:ilvl w:val="1"/>
          <w:numId w:val="1"/>
        </w:numPr>
        <w:tabs>
          <w:tab w:pos="484" w:val="left" w:leader="none"/>
        </w:tabs>
        <w:spacing w:line="240" w:lineRule="auto" w:before="196" w:after="0"/>
        <w:ind w:left="483" w:right="0" w:hanging="377"/>
        <w:jc w:val="left"/>
        <w:rPr>
          <w:b/>
          <w:sz w:val="20"/>
        </w:rPr>
      </w:pPr>
      <w:bookmarkStart w:name="4.5  Interaction with other medicinal pr" w:id="11"/>
      <w:bookmarkEnd w:id="11"/>
      <w:r>
        <w:rPr/>
      </w:r>
      <w:bookmarkStart w:name="4.5  Interaction with other medicinal pr" w:id="12"/>
      <w:bookmarkEnd w:id="12"/>
      <w:r>
        <w:rPr>
          <w:b/>
          <w:sz w:val="20"/>
        </w:rPr>
        <w:t>In</w:t>
      </w:r>
      <w:r>
        <w:rPr>
          <w:b/>
          <w:sz w:val="20"/>
        </w:rPr>
        <w:t>teraction with other medicinal products and other forms of</w:t>
      </w:r>
      <w:r>
        <w:rPr>
          <w:b/>
          <w:spacing w:val="-7"/>
          <w:sz w:val="20"/>
        </w:rPr>
        <w:t> </w:t>
      </w:r>
      <w:r>
        <w:rPr>
          <w:b/>
          <w:sz w:val="20"/>
        </w:rPr>
        <w:t>interaction</w:t>
      </w:r>
    </w:p>
    <w:p>
      <w:pPr>
        <w:pStyle w:val="BodyText"/>
        <w:spacing w:before="121"/>
        <w:ind w:left="183"/>
      </w:pPr>
      <w:r>
        <w:rPr/>
        <w:t>&lt;No interaction studies have been performed.&gt;</w:t>
      </w:r>
    </w:p>
    <w:p>
      <w:pPr>
        <w:pStyle w:val="BodyText"/>
        <w:spacing w:before="121"/>
        <w:ind w:left="183"/>
      </w:pPr>
      <w:r>
        <w:rPr/>
        <w:t>&lt;Interaction studies have only been performed in adults.&gt;</w:t>
      </w:r>
    </w:p>
    <w:p>
      <w:pPr>
        <w:pStyle w:val="BodyText"/>
        <w:rPr>
          <w:sz w:val="24"/>
        </w:rPr>
      </w:pPr>
    </w:p>
    <w:p>
      <w:pPr>
        <w:pStyle w:val="Heading3"/>
        <w:numPr>
          <w:ilvl w:val="1"/>
          <w:numId w:val="1"/>
        </w:numPr>
        <w:tabs>
          <w:tab w:pos="599" w:val="left" w:leader="none"/>
        </w:tabs>
        <w:spacing w:line="240" w:lineRule="auto" w:before="194" w:after="0"/>
        <w:ind w:left="598" w:right="0" w:hanging="492"/>
        <w:jc w:val="left"/>
      </w:pPr>
      <w:bookmarkStart w:name="4.6  Pregnancy and Lactation" w:id="13"/>
      <w:bookmarkEnd w:id="13"/>
      <w:r>
        <w:rPr>
          <w:b w:val="0"/>
        </w:rPr>
      </w:r>
      <w:bookmarkStart w:name="4.6  Pregnancy and Lactation" w:id="14"/>
      <w:bookmarkEnd w:id="14"/>
      <w:r>
        <w:rPr/>
        <w:t>Pr</w:t>
      </w:r>
      <w:r>
        <w:rPr/>
        <w:t>egnancy and Lactation</w:t>
      </w:r>
    </w:p>
    <w:p>
      <w:pPr>
        <w:pStyle w:val="BodyText"/>
        <w:spacing w:before="121"/>
        <w:ind w:left="841"/>
      </w:pPr>
      <w:r>
        <w:rPr/>
        <w:t>&lt;Pregnancy&gt;</w:t>
      </w:r>
    </w:p>
    <w:p>
      <w:pPr>
        <w:pStyle w:val="BodyText"/>
        <w:spacing w:before="126"/>
        <w:ind w:left="841"/>
      </w:pPr>
      <w:r>
        <w:rPr/>
        <w:t>&lt;Lactation&gt;</w:t>
      </w:r>
    </w:p>
    <w:p>
      <w:pPr>
        <w:pStyle w:val="BodyText"/>
        <w:spacing w:before="126"/>
        <w:ind w:left="841"/>
      </w:pPr>
      <w:r>
        <w:rPr/>
        <w:t>&lt;Fertility&gt;</w:t>
      </w:r>
    </w:p>
    <w:p>
      <w:pPr>
        <w:pStyle w:val="BodyText"/>
        <w:rPr>
          <w:sz w:val="24"/>
        </w:rPr>
      </w:pPr>
    </w:p>
    <w:p>
      <w:pPr>
        <w:spacing w:line="348" w:lineRule="auto" w:before="189"/>
        <w:ind w:left="106" w:right="118" w:firstLine="0"/>
        <w:jc w:val="left"/>
        <w:rPr>
          <w:i/>
          <w:sz w:val="21"/>
        </w:rPr>
      </w:pPr>
      <w:r>
        <w:rPr>
          <w:i/>
          <w:sz w:val="21"/>
        </w:rPr>
        <w:t>[See</w:t>
      </w:r>
      <w:r>
        <w:rPr>
          <w:i/>
          <w:spacing w:val="-17"/>
          <w:sz w:val="21"/>
        </w:rPr>
        <w:t> </w:t>
      </w:r>
      <w:r>
        <w:rPr>
          <w:i/>
          <w:sz w:val="21"/>
        </w:rPr>
        <w:t>prequalification</w:t>
      </w:r>
      <w:r>
        <w:rPr>
          <w:i/>
          <w:spacing w:val="-18"/>
          <w:sz w:val="21"/>
        </w:rPr>
        <w:t> </w:t>
      </w:r>
      <w:r>
        <w:rPr>
          <w:i/>
          <w:sz w:val="21"/>
        </w:rPr>
        <w:t>guidance:</w:t>
      </w:r>
      <w:r>
        <w:rPr>
          <w:i/>
          <w:spacing w:val="-14"/>
          <w:sz w:val="21"/>
        </w:rPr>
        <w:t> </w:t>
      </w:r>
      <w:r>
        <w:rPr>
          <w:sz w:val="20"/>
        </w:rPr>
        <w:t>Section</w:t>
      </w:r>
      <w:r>
        <w:rPr>
          <w:spacing w:val="-15"/>
          <w:sz w:val="20"/>
        </w:rPr>
        <w:t> </w:t>
      </w:r>
      <w:r>
        <w:rPr>
          <w:sz w:val="20"/>
        </w:rPr>
        <w:t>Guidance</w:t>
      </w:r>
      <w:r>
        <w:rPr>
          <w:spacing w:val="-14"/>
          <w:sz w:val="20"/>
        </w:rPr>
        <w:t> </w:t>
      </w:r>
      <w:r>
        <w:rPr>
          <w:sz w:val="20"/>
        </w:rPr>
        <w:t>for</w:t>
      </w:r>
      <w:r>
        <w:rPr>
          <w:spacing w:val="-15"/>
          <w:sz w:val="20"/>
        </w:rPr>
        <w:t> </w:t>
      </w:r>
      <w:r>
        <w:rPr>
          <w:sz w:val="20"/>
        </w:rPr>
        <w:t>Part</w:t>
      </w:r>
      <w:r>
        <w:rPr>
          <w:spacing w:val="-14"/>
          <w:sz w:val="20"/>
        </w:rPr>
        <w:t> </w:t>
      </w:r>
      <w:r>
        <w:rPr>
          <w:sz w:val="20"/>
        </w:rPr>
        <w:t>4</w:t>
      </w:r>
      <w:r>
        <w:rPr>
          <w:spacing w:val="-14"/>
          <w:sz w:val="20"/>
        </w:rPr>
        <w:t> </w:t>
      </w:r>
      <w:r>
        <w:rPr>
          <w:sz w:val="20"/>
        </w:rPr>
        <w:t>—</w:t>
      </w:r>
      <w:r>
        <w:rPr>
          <w:spacing w:val="-15"/>
          <w:sz w:val="20"/>
        </w:rPr>
        <w:t> </w:t>
      </w:r>
      <w:r>
        <w:rPr>
          <w:sz w:val="20"/>
        </w:rPr>
        <w:t>Summary</w:t>
      </w:r>
      <w:r>
        <w:rPr>
          <w:spacing w:val="-13"/>
          <w:sz w:val="20"/>
        </w:rPr>
        <w:t> </w:t>
      </w:r>
      <w:r>
        <w:rPr>
          <w:sz w:val="20"/>
        </w:rPr>
        <w:t>of</w:t>
      </w:r>
      <w:r>
        <w:rPr>
          <w:spacing w:val="-15"/>
          <w:sz w:val="20"/>
        </w:rPr>
        <w:t> </w:t>
      </w:r>
      <w:r>
        <w:rPr>
          <w:sz w:val="20"/>
        </w:rPr>
        <w:t>Product</w:t>
      </w:r>
      <w:r>
        <w:rPr>
          <w:spacing w:val="-14"/>
          <w:sz w:val="20"/>
        </w:rPr>
        <w:t> </w:t>
      </w:r>
      <w:r>
        <w:rPr>
          <w:sz w:val="20"/>
        </w:rPr>
        <w:t>Characteristics (SmPC) — Of a WHO Public Assessment Report</w:t>
      </w:r>
      <w:r>
        <w:rPr>
          <w:spacing w:val="-4"/>
          <w:sz w:val="20"/>
        </w:rPr>
        <w:t> </w:t>
      </w:r>
      <w:r>
        <w:rPr>
          <w:sz w:val="20"/>
        </w:rPr>
        <w:t>(WHOPAR).</w:t>
      </w:r>
      <w:r>
        <w:rPr>
          <w:i/>
          <w:sz w:val="21"/>
        </w:rPr>
        <w:t>]</w:t>
      </w:r>
    </w:p>
    <w:p>
      <w:pPr>
        <w:pStyle w:val="BodyText"/>
        <w:spacing w:before="7"/>
        <w:rPr>
          <w:i/>
          <w:sz w:val="30"/>
        </w:rPr>
      </w:pPr>
    </w:p>
    <w:p>
      <w:pPr>
        <w:pStyle w:val="BodyText"/>
        <w:ind w:left="106"/>
      </w:pPr>
      <w:r>
        <w:rPr/>
        <w:t>&lt;Women of childbearing potential&gt;</w:t>
      </w:r>
    </w:p>
    <w:p>
      <w:pPr>
        <w:pStyle w:val="BodyText"/>
        <w:spacing w:before="126"/>
        <w:ind w:left="106"/>
      </w:pPr>
      <w:r>
        <w:rPr/>
        <w:t>&lt;Contraception in males and females&gt;</w:t>
      </w:r>
    </w:p>
    <w:p>
      <w:pPr>
        <w:pStyle w:val="BodyText"/>
        <w:spacing w:before="125"/>
        <w:ind w:left="106"/>
      </w:pPr>
      <w:r>
        <w:rPr/>
        <w:t>&lt;Pregnancy&gt;</w:t>
      </w:r>
    </w:p>
    <w:p>
      <w:pPr>
        <w:pStyle w:val="BodyText"/>
        <w:spacing w:before="127"/>
        <w:ind w:left="106"/>
      </w:pPr>
      <w:r>
        <w:rPr/>
        <w:t>&lt;Lactation&gt;</w:t>
      </w:r>
    </w:p>
    <w:p>
      <w:pPr>
        <w:pStyle w:val="BodyText"/>
        <w:spacing w:before="126"/>
        <w:ind w:left="106"/>
      </w:pPr>
      <w:r>
        <w:rPr/>
        <w:t>&lt;Fertility&gt;</w:t>
      </w:r>
    </w:p>
    <w:p>
      <w:pPr>
        <w:pStyle w:val="BodyText"/>
        <w:rPr>
          <w:sz w:val="24"/>
        </w:rPr>
      </w:pPr>
    </w:p>
    <w:p>
      <w:pPr>
        <w:pStyle w:val="Heading3"/>
        <w:numPr>
          <w:ilvl w:val="1"/>
          <w:numId w:val="1"/>
        </w:numPr>
        <w:tabs>
          <w:tab w:pos="587" w:val="left" w:leader="none"/>
        </w:tabs>
        <w:spacing w:line="240" w:lineRule="auto" w:before="200" w:after="0"/>
        <w:ind w:left="586" w:right="0" w:hanging="480"/>
        <w:jc w:val="left"/>
      </w:pPr>
      <w:bookmarkStart w:name="4.7  Effects on ability to drive and use" w:id="15"/>
      <w:bookmarkEnd w:id="15"/>
      <w:r>
        <w:rPr>
          <w:b w:val="0"/>
        </w:rPr>
      </w:r>
      <w:bookmarkStart w:name="4.7  Effects on ability to drive and use" w:id="16"/>
      <w:bookmarkEnd w:id="16"/>
      <w:r>
        <w:rPr/>
        <w:t>E</w:t>
      </w:r>
      <w:r>
        <w:rPr/>
        <w:t>ffects on ability to drive and use</w:t>
      </w:r>
      <w:r>
        <w:rPr>
          <w:spacing w:val="-4"/>
        </w:rPr>
        <w:t> </w:t>
      </w:r>
      <w:r>
        <w:rPr/>
        <w:t>machines</w:t>
      </w:r>
    </w:p>
    <w:p>
      <w:pPr>
        <w:pStyle w:val="BodyText"/>
        <w:spacing w:before="121"/>
        <w:ind w:left="183"/>
      </w:pPr>
      <w:r>
        <w:rPr/>
        <w:t>&lt; {Product name, strength, dosage form} has &lt;no &lt;or negligible&gt; influence&gt; &lt;minor</w:t>
      </w:r>
      <w:r>
        <w:rPr>
          <w:spacing w:val="60"/>
        </w:rPr>
        <w:t> </w:t>
      </w:r>
      <w:r>
        <w:rPr/>
        <w:t>influence&gt;,</w:t>
      </w:r>
    </w:p>
    <w:p>
      <w:pPr>
        <w:pStyle w:val="BodyText"/>
        <w:spacing w:before="121"/>
        <w:ind w:left="121"/>
      </w:pPr>
      <w:r>
        <w:rPr/>
        <w:t>&lt;moderate influence&gt; &lt;major influence&gt; on the ability to drive and use machines.&gt;</w:t>
      </w:r>
    </w:p>
    <w:p>
      <w:pPr>
        <w:pStyle w:val="BodyText"/>
        <w:rPr>
          <w:sz w:val="24"/>
        </w:rPr>
      </w:pPr>
    </w:p>
    <w:p>
      <w:pPr>
        <w:pStyle w:val="BodyText"/>
        <w:spacing w:before="194"/>
        <w:ind w:left="106"/>
      </w:pPr>
      <w:r>
        <w:rPr/>
        <w:t>&lt;No studies on the effects on the ability to drive and use machines have been performed.&gt;</w:t>
      </w:r>
    </w:p>
    <w:p>
      <w:pPr>
        <w:spacing w:after="0"/>
        <w:sectPr>
          <w:footerReference w:type="default" r:id="rId7"/>
          <w:pgSz w:w="11910" w:h="16850"/>
          <w:pgMar w:footer="959" w:header="0" w:top="1600" w:bottom="1140" w:left="1300" w:right="1120"/>
          <w:pgNumType w:start="4"/>
        </w:sectPr>
      </w:pPr>
    </w:p>
    <w:p>
      <w:pPr>
        <w:pStyle w:val="BodyText"/>
      </w:pPr>
    </w:p>
    <w:p>
      <w:pPr>
        <w:pStyle w:val="BodyText"/>
      </w:pPr>
    </w:p>
    <w:p>
      <w:pPr>
        <w:pStyle w:val="BodyText"/>
      </w:pPr>
    </w:p>
    <w:p>
      <w:pPr>
        <w:pStyle w:val="BodyText"/>
      </w:pPr>
    </w:p>
    <w:p>
      <w:pPr>
        <w:pStyle w:val="BodyText"/>
        <w:spacing w:before="3"/>
        <w:rPr>
          <w:sz w:val="29"/>
        </w:rPr>
      </w:pPr>
    </w:p>
    <w:p>
      <w:pPr>
        <w:pStyle w:val="BodyText"/>
        <w:spacing w:before="99"/>
        <w:ind w:left="183"/>
      </w:pPr>
      <w:r>
        <w:rPr/>
        <w:t>&lt;Not relevant.&gt;</w:t>
      </w:r>
    </w:p>
    <w:p>
      <w:pPr>
        <w:pStyle w:val="BodyText"/>
        <w:rPr>
          <w:sz w:val="24"/>
        </w:rPr>
      </w:pPr>
    </w:p>
    <w:p>
      <w:pPr>
        <w:pStyle w:val="Heading3"/>
        <w:numPr>
          <w:ilvl w:val="1"/>
          <w:numId w:val="1"/>
        </w:numPr>
        <w:tabs>
          <w:tab w:pos="644" w:val="left" w:leader="none"/>
          <w:tab w:pos="645" w:val="left" w:leader="none"/>
        </w:tabs>
        <w:spacing w:line="240" w:lineRule="auto" w:before="196" w:after="0"/>
        <w:ind w:left="644" w:right="0" w:hanging="538"/>
        <w:jc w:val="left"/>
      </w:pPr>
      <w:bookmarkStart w:name="4.8  Undesirable effects" w:id="17"/>
      <w:bookmarkEnd w:id="17"/>
      <w:r>
        <w:rPr>
          <w:b w:val="0"/>
        </w:rPr>
      </w:r>
      <w:bookmarkStart w:name="4.8  Undesirable effects" w:id="18"/>
      <w:bookmarkEnd w:id="18"/>
      <w:r>
        <w:rPr/>
        <w:t>Un</w:t>
      </w:r>
      <w:r>
        <w:rPr/>
        <w:t>desirable</w:t>
      </w:r>
      <w:r>
        <w:rPr>
          <w:spacing w:val="-1"/>
        </w:rPr>
        <w:t> </w:t>
      </w:r>
      <w:r>
        <w:rPr/>
        <w:t>effects</w:t>
      </w:r>
    </w:p>
    <w:p>
      <w:pPr>
        <w:pStyle w:val="BodyText"/>
        <w:rPr>
          <w:b/>
          <w:sz w:val="24"/>
        </w:rPr>
      </w:pPr>
    </w:p>
    <w:p>
      <w:pPr>
        <w:spacing w:line="348" w:lineRule="auto" w:before="184"/>
        <w:ind w:left="106" w:right="118" w:firstLine="0"/>
        <w:jc w:val="left"/>
        <w:rPr>
          <w:i/>
          <w:sz w:val="21"/>
        </w:rPr>
      </w:pPr>
      <w:r>
        <w:rPr>
          <w:i/>
          <w:sz w:val="21"/>
        </w:rPr>
        <w:t>[See</w:t>
      </w:r>
      <w:r>
        <w:rPr>
          <w:i/>
          <w:spacing w:val="-17"/>
          <w:sz w:val="21"/>
        </w:rPr>
        <w:t> </w:t>
      </w:r>
      <w:r>
        <w:rPr>
          <w:i/>
          <w:sz w:val="21"/>
        </w:rPr>
        <w:t>prequalification</w:t>
      </w:r>
      <w:r>
        <w:rPr>
          <w:i/>
          <w:spacing w:val="-18"/>
          <w:sz w:val="21"/>
        </w:rPr>
        <w:t> </w:t>
      </w:r>
      <w:r>
        <w:rPr>
          <w:i/>
          <w:sz w:val="21"/>
        </w:rPr>
        <w:t>guidance:</w:t>
      </w:r>
      <w:r>
        <w:rPr>
          <w:i/>
          <w:spacing w:val="-14"/>
          <w:sz w:val="21"/>
        </w:rPr>
        <w:t> </w:t>
      </w:r>
      <w:r>
        <w:rPr>
          <w:sz w:val="20"/>
        </w:rPr>
        <w:t>Section</w:t>
      </w:r>
      <w:r>
        <w:rPr>
          <w:spacing w:val="-15"/>
          <w:sz w:val="20"/>
        </w:rPr>
        <w:t> </w:t>
      </w:r>
      <w:r>
        <w:rPr>
          <w:sz w:val="20"/>
        </w:rPr>
        <w:t>Guidance</w:t>
      </w:r>
      <w:r>
        <w:rPr>
          <w:spacing w:val="-14"/>
          <w:sz w:val="20"/>
        </w:rPr>
        <w:t> </w:t>
      </w:r>
      <w:r>
        <w:rPr>
          <w:sz w:val="20"/>
        </w:rPr>
        <w:t>for</w:t>
      </w:r>
      <w:r>
        <w:rPr>
          <w:spacing w:val="-15"/>
          <w:sz w:val="20"/>
        </w:rPr>
        <w:t> </w:t>
      </w:r>
      <w:r>
        <w:rPr>
          <w:sz w:val="20"/>
        </w:rPr>
        <w:t>Part</w:t>
      </w:r>
      <w:r>
        <w:rPr>
          <w:spacing w:val="-14"/>
          <w:sz w:val="20"/>
        </w:rPr>
        <w:t> </w:t>
      </w:r>
      <w:r>
        <w:rPr>
          <w:sz w:val="20"/>
        </w:rPr>
        <w:t>4</w:t>
      </w:r>
      <w:r>
        <w:rPr>
          <w:spacing w:val="-14"/>
          <w:sz w:val="20"/>
        </w:rPr>
        <w:t> </w:t>
      </w:r>
      <w:r>
        <w:rPr>
          <w:sz w:val="20"/>
        </w:rPr>
        <w:t>—</w:t>
      </w:r>
      <w:r>
        <w:rPr>
          <w:spacing w:val="-15"/>
          <w:sz w:val="20"/>
        </w:rPr>
        <w:t> </w:t>
      </w:r>
      <w:r>
        <w:rPr>
          <w:sz w:val="20"/>
        </w:rPr>
        <w:t>Summary</w:t>
      </w:r>
      <w:r>
        <w:rPr>
          <w:spacing w:val="-13"/>
          <w:sz w:val="20"/>
        </w:rPr>
        <w:t> </w:t>
      </w:r>
      <w:r>
        <w:rPr>
          <w:sz w:val="20"/>
        </w:rPr>
        <w:t>of</w:t>
      </w:r>
      <w:r>
        <w:rPr>
          <w:spacing w:val="-15"/>
          <w:sz w:val="20"/>
        </w:rPr>
        <w:t> </w:t>
      </w:r>
      <w:r>
        <w:rPr>
          <w:sz w:val="20"/>
        </w:rPr>
        <w:t>Product</w:t>
      </w:r>
      <w:r>
        <w:rPr>
          <w:spacing w:val="-14"/>
          <w:sz w:val="20"/>
        </w:rPr>
        <w:t> </w:t>
      </w:r>
      <w:r>
        <w:rPr>
          <w:sz w:val="20"/>
        </w:rPr>
        <w:t>Characteristics (SmPC) — Of a WHO Public Assessment Report</w:t>
      </w:r>
      <w:r>
        <w:rPr>
          <w:spacing w:val="-4"/>
          <w:sz w:val="20"/>
        </w:rPr>
        <w:t> </w:t>
      </w:r>
      <w:r>
        <w:rPr>
          <w:sz w:val="20"/>
        </w:rPr>
        <w:t>(WHOPAR).</w:t>
      </w:r>
      <w:r>
        <w:rPr>
          <w:i/>
          <w:sz w:val="21"/>
        </w:rPr>
        <w:t>]</w:t>
      </w:r>
    </w:p>
    <w:p>
      <w:pPr>
        <w:pStyle w:val="BodyText"/>
        <w:spacing w:before="9"/>
        <w:rPr>
          <w:i/>
          <w:sz w:val="29"/>
        </w:rPr>
      </w:pPr>
    </w:p>
    <w:p>
      <w:pPr>
        <w:pStyle w:val="Heading2"/>
        <w:spacing w:before="1"/>
        <w:ind w:left="106"/>
      </w:pPr>
      <w:r>
        <w:rPr/>
        <w:t>&lt;Pediatric population&gt;</w:t>
      </w:r>
    </w:p>
    <w:p>
      <w:pPr>
        <w:pStyle w:val="BodyText"/>
        <w:rPr>
          <w:i/>
          <w:sz w:val="24"/>
        </w:rPr>
      </w:pPr>
    </w:p>
    <w:p>
      <w:pPr>
        <w:pStyle w:val="Heading3"/>
        <w:numPr>
          <w:ilvl w:val="1"/>
          <w:numId w:val="1"/>
        </w:numPr>
        <w:tabs>
          <w:tab w:pos="677" w:val="left" w:leader="none"/>
          <w:tab w:pos="679" w:val="left" w:leader="none"/>
        </w:tabs>
        <w:spacing w:line="240" w:lineRule="auto" w:before="194" w:after="0"/>
        <w:ind w:left="678" w:right="0" w:hanging="572"/>
        <w:jc w:val="left"/>
      </w:pPr>
      <w:r>
        <w:rPr/>
        <w:t>Overdose</w:t>
      </w:r>
    </w:p>
    <w:p>
      <w:pPr>
        <w:pStyle w:val="BodyText"/>
        <w:spacing w:before="121"/>
        <w:ind w:left="183"/>
      </w:pPr>
      <w:r>
        <w:rPr/>
        <w:t>&lt;No case of overdose has been reported.&gt;</w:t>
      </w:r>
    </w:p>
    <w:p>
      <w:pPr>
        <w:pStyle w:val="BodyText"/>
        <w:spacing w:line="360" w:lineRule="auto" w:before="121"/>
        <w:ind w:left="116" w:hanging="10"/>
      </w:pPr>
      <w:r>
        <w:rPr/>
        <w:t>&lt;If overdose occurs the patient should be monitored for evidence of toxicity and standard supportive treatment applied as necessary&gt;</w:t>
      </w:r>
    </w:p>
    <w:p>
      <w:pPr>
        <w:pStyle w:val="BodyText"/>
        <w:rPr>
          <w:sz w:val="24"/>
        </w:rPr>
      </w:pPr>
    </w:p>
    <w:p>
      <w:pPr>
        <w:pStyle w:val="BodyText"/>
        <w:rPr>
          <w:sz w:val="24"/>
        </w:rPr>
      </w:pPr>
    </w:p>
    <w:p>
      <w:pPr>
        <w:pStyle w:val="Heading3"/>
        <w:numPr>
          <w:ilvl w:val="0"/>
          <w:numId w:val="1"/>
        </w:numPr>
        <w:tabs>
          <w:tab w:pos="836" w:val="left" w:leader="none"/>
          <w:tab w:pos="837" w:val="left" w:leader="none"/>
        </w:tabs>
        <w:spacing w:line="240" w:lineRule="auto" w:before="150" w:after="0"/>
        <w:ind w:left="836" w:right="0" w:hanging="730"/>
        <w:jc w:val="left"/>
      </w:pPr>
      <w:bookmarkStart w:name="5.  PHARMACOLOGICAL PROPERTIES" w:id="19"/>
      <w:bookmarkEnd w:id="19"/>
      <w:r>
        <w:rPr>
          <w:b w:val="0"/>
        </w:rPr>
      </w:r>
      <w:bookmarkStart w:name="5.  PHARMACOLOGICAL PROPERTIES" w:id="20"/>
      <w:bookmarkEnd w:id="20"/>
      <w:r>
        <w:rPr/>
        <w:t>P</w:t>
      </w:r>
      <w:r>
        <w:rPr/>
        <w:t>HARMACOLOGICAL</w:t>
      </w:r>
      <w:r>
        <w:rPr>
          <w:spacing w:val="-1"/>
        </w:rPr>
        <w:t> </w:t>
      </w:r>
      <w:r>
        <w:rPr/>
        <w:t>PROPERTIES</w:t>
      </w:r>
    </w:p>
    <w:p>
      <w:pPr>
        <w:pStyle w:val="ListParagraph"/>
        <w:numPr>
          <w:ilvl w:val="1"/>
          <w:numId w:val="1"/>
        </w:numPr>
        <w:tabs>
          <w:tab w:pos="841" w:val="left" w:leader="none"/>
          <w:tab w:pos="842" w:val="left" w:leader="none"/>
        </w:tabs>
        <w:spacing w:line="360" w:lineRule="auto" w:before="122" w:after="0"/>
        <w:ind w:left="183" w:right="4320" w:firstLine="0"/>
        <w:jc w:val="left"/>
        <w:rPr>
          <w:sz w:val="20"/>
        </w:rPr>
      </w:pPr>
      <w:r>
        <w:rPr>
          <w:sz w:val="20"/>
        </w:rPr>
        <w:t>Pharmacodynamics properties Pharmacotherapeutic group: {group}, ATC code:</w:t>
      </w:r>
      <w:r>
        <w:rPr>
          <w:spacing w:val="-25"/>
          <w:sz w:val="20"/>
        </w:rPr>
        <w:t> </w:t>
      </w:r>
      <w:r>
        <w:rPr>
          <w:sz w:val="20"/>
        </w:rPr>
        <w:t>{code}</w:t>
      </w:r>
    </w:p>
    <w:p>
      <w:pPr>
        <w:pStyle w:val="BodyText"/>
        <w:ind w:left="183"/>
      </w:pPr>
      <w:r>
        <w:rPr/>
        <w:t>&lt;Mechanism of action&gt;</w:t>
      </w:r>
    </w:p>
    <w:p>
      <w:pPr>
        <w:pStyle w:val="BodyText"/>
        <w:spacing w:before="121"/>
        <w:ind w:left="183"/>
      </w:pPr>
      <w:r>
        <w:rPr/>
        <w:t>&lt;Pharmacodynamic effects&gt;</w:t>
      </w:r>
    </w:p>
    <w:p>
      <w:pPr>
        <w:pStyle w:val="BodyText"/>
        <w:spacing w:before="121"/>
        <w:ind w:left="183"/>
      </w:pPr>
      <w:r>
        <w:rPr/>
        <w:t>&lt;Clinical efficacy and safety&gt;</w:t>
      </w:r>
    </w:p>
    <w:p>
      <w:pPr>
        <w:pStyle w:val="BodyText"/>
        <w:spacing w:before="121"/>
        <w:ind w:left="106"/>
      </w:pPr>
      <w:r>
        <w:rPr/>
        <w:t>&lt;Resistance&gt;</w:t>
      </w:r>
    </w:p>
    <w:p>
      <w:pPr>
        <w:pStyle w:val="BodyText"/>
        <w:spacing w:before="126"/>
        <w:ind w:left="106"/>
      </w:pPr>
      <w:r>
        <w:rPr/>
        <w:t>&lt;Paediatric population&gt;</w:t>
      </w:r>
    </w:p>
    <w:p>
      <w:pPr>
        <w:pStyle w:val="BodyText"/>
        <w:rPr>
          <w:sz w:val="24"/>
        </w:rPr>
      </w:pPr>
    </w:p>
    <w:p>
      <w:pPr>
        <w:pStyle w:val="Heading3"/>
        <w:numPr>
          <w:ilvl w:val="1"/>
          <w:numId w:val="1"/>
        </w:numPr>
        <w:tabs>
          <w:tab w:pos="616" w:val="left" w:leader="none"/>
        </w:tabs>
        <w:spacing w:line="240" w:lineRule="auto" w:before="201" w:after="0"/>
        <w:ind w:left="615" w:right="0" w:hanging="509"/>
        <w:jc w:val="left"/>
      </w:pPr>
      <w:r>
        <w:rPr/>
        <w:t>Pharmacokinetic properties</w:t>
      </w:r>
    </w:p>
    <w:p>
      <w:pPr>
        <w:pStyle w:val="BodyText"/>
        <w:spacing w:before="121"/>
        <w:ind w:left="183"/>
      </w:pPr>
      <w:r>
        <w:rPr/>
        <w:t>&lt;Absorption and Bioavailability&gt;</w:t>
      </w:r>
    </w:p>
    <w:p>
      <w:pPr>
        <w:pStyle w:val="BodyText"/>
        <w:spacing w:before="122"/>
        <w:ind w:left="106"/>
      </w:pPr>
      <w:r>
        <w:rPr/>
        <w:t>&lt;Distribution&gt;</w:t>
      </w:r>
    </w:p>
    <w:p>
      <w:pPr>
        <w:pStyle w:val="BodyText"/>
        <w:spacing w:before="121"/>
        <w:ind w:left="106"/>
      </w:pPr>
      <w:r>
        <w:rPr/>
        <w:t>&lt;Metabolism&gt;</w:t>
      </w:r>
    </w:p>
    <w:p>
      <w:pPr>
        <w:pStyle w:val="BodyText"/>
        <w:spacing w:before="118"/>
        <w:ind w:left="106"/>
      </w:pPr>
      <w:r>
        <w:rPr/>
        <w:t>&lt;Elimination&gt;</w:t>
      </w:r>
    </w:p>
    <w:p>
      <w:pPr>
        <w:pStyle w:val="BodyText"/>
        <w:spacing w:before="121"/>
        <w:ind w:left="106"/>
      </w:pPr>
      <w:r>
        <w:rPr/>
        <w:t>&lt;Special Population&gt;</w:t>
      </w:r>
    </w:p>
    <w:p>
      <w:pPr>
        <w:spacing w:after="0"/>
        <w:sectPr>
          <w:pgSz w:w="11910" w:h="16850"/>
          <w:pgMar w:header="0" w:footer="959" w:top="1600" w:bottom="1220" w:left="1300" w:right="1120"/>
        </w:sectPr>
      </w:pPr>
    </w:p>
    <w:p>
      <w:pPr>
        <w:pStyle w:val="BodyText"/>
      </w:pPr>
    </w:p>
    <w:p>
      <w:pPr>
        <w:pStyle w:val="BodyText"/>
      </w:pPr>
    </w:p>
    <w:p>
      <w:pPr>
        <w:pStyle w:val="BodyText"/>
      </w:pPr>
    </w:p>
    <w:p>
      <w:pPr>
        <w:pStyle w:val="BodyText"/>
      </w:pPr>
    </w:p>
    <w:p>
      <w:pPr>
        <w:pStyle w:val="BodyText"/>
        <w:spacing w:before="5"/>
        <w:rPr>
          <w:sz w:val="29"/>
        </w:rPr>
      </w:pPr>
    </w:p>
    <w:p>
      <w:pPr>
        <w:pStyle w:val="Heading3"/>
        <w:numPr>
          <w:ilvl w:val="1"/>
          <w:numId w:val="1"/>
        </w:numPr>
        <w:tabs>
          <w:tab w:pos="625" w:val="left" w:leader="none"/>
          <w:tab w:pos="626" w:val="left" w:leader="none"/>
        </w:tabs>
        <w:spacing w:line="240" w:lineRule="auto" w:before="99" w:after="0"/>
        <w:ind w:left="625" w:right="0" w:hanging="519"/>
        <w:jc w:val="left"/>
      </w:pPr>
      <w:bookmarkStart w:name="5.3  Preclinical safety data" w:id="21"/>
      <w:bookmarkEnd w:id="21"/>
      <w:r>
        <w:rPr>
          <w:b w:val="0"/>
        </w:rPr>
      </w:r>
      <w:bookmarkStart w:name="5.3  Preclinical safety data" w:id="22"/>
      <w:bookmarkEnd w:id="22"/>
      <w:r>
        <w:rPr/>
        <w:t>Pr</w:t>
      </w:r>
      <w:r>
        <w:rPr/>
        <w:t>eclinical safety</w:t>
      </w:r>
      <w:r>
        <w:rPr>
          <w:spacing w:val="0"/>
        </w:rPr>
        <w:t> </w:t>
      </w:r>
      <w:r>
        <w:rPr/>
        <w:t>data</w:t>
      </w:r>
    </w:p>
    <w:p>
      <w:pPr>
        <w:pStyle w:val="BodyText"/>
        <w:rPr>
          <w:b/>
          <w:sz w:val="24"/>
        </w:rPr>
      </w:pPr>
    </w:p>
    <w:p>
      <w:pPr>
        <w:pStyle w:val="BodyText"/>
        <w:spacing w:line="360" w:lineRule="auto" w:before="194"/>
        <w:ind w:left="116" w:right="281" w:hanging="10"/>
        <w:jc w:val="both"/>
      </w:pPr>
      <w:r>
        <w:rPr/>
        <w:t>&lt;Non-clinical data reveal no special hazard for humans based on conventional studies of safety pharmacology, repeated dose toxicity, genotoxicity, carcinogenic potential, toxicity to reproduction and development.&gt;</w:t>
      </w:r>
    </w:p>
    <w:p>
      <w:pPr>
        <w:pStyle w:val="BodyText"/>
        <w:spacing w:before="6"/>
        <w:rPr>
          <w:sz w:val="30"/>
        </w:rPr>
      </w:pPr>
    </w:p>
    <w:p>
      <w:pPr>
        <w:pStyle w:val="BodyText"/>
        <w:spacing w:line="360" w:lineRule="auto" w:before="1"/>
        <w:ind w:left="116" w:hanging="10"/>
      </w:pPr>
      <w:r>
        <w:rPr/>
        <w:t>&lt;Effects in non-clinical studies were observed only at exposures considered sufficiently in excess of the maximum human exposure indicating little relevance to clinical use.&gt;</w:t>
      </w:r>
    </w:p>
    <w:p>
      <w:pPr>
        <w:pStyle w:val="BodyText"/>
        <w:spacing w:before="5"/>
        <w:rPr>
          <w:sz w:val="30"/>
        </w:rPr>
      </w:pPr>
    </w:p>
    <w:p>
      <w:pPr>
        <w:pStyle w:val="BodyText"/>
        <w:spacing w:line="357" w:lineRule="auto"/>
        <w:ind w:left="116" w:hanging="10"/>
      </w:pPr>
      <w:r>
        <w:rPr/>
        <w:t>&lt;Adverse reactions not observed in clinical studies, but seen in animals at exposure levels similar to clinical exposure levels and with possible relevance to clinical use were as follows:&gt;</w:t>
      </w:r>
    </w:p>
    <w:p>
      <w:pPr>
        <w:pStyle w:val="BodyText"/>
        <w:spacing w:before="1"/>
        <w:rPr>
          <w:sz w:val="31"/>
        </w:rPr>
      </w:pPr>
    </w:p>
    <w:p>
      <w:pPr>
        <w:pStyle w:val="BodyText"/>
        <w:ind w:left="106"/>
        <w:jc w:val="both"/>
      </w:pPr>
      <w:r>
        <w:rPr/>
        <w:t>&lt;Mutagenicity and Carcinogenicity&gt;</w:t>
      </w:r>
    </w:p>
    <w:p>
      <w:pPr>
        <w:pStyle w:val="BodyText"/>
        <w:rPr>
          <w:sz w:val="24"/>
        </w:rPr>
      </w:pPr>
    </w:p>
    <w:p>
      <w:pPr>
        <w:pStyle w:val="BodyText"/>
        <w:spacing w:before="203"/>
        <w:ind w:left="106"/>
        <w:jc w:val="both"/>
      </w:pPr>
      <w:r>
        <w:rPr/>
        <w:t>&lt;Reproductive toxicology&gt;</w:t>
      </w:r>
    </w:p>
    <w:p>
      <w:pPr>
        <w:pStyle w:val="BodyText"/>
        <w:rPr>
          <w:sz w:val="24"/>
        </w:rPr>
      </w:pPr>
    </w:p>
    <w:p>
      <w:pPr>
        <w:pStyle w:val="BodyText"/>
        <w:rPr>
          <w:sz w:val="24"/>
        </w:rPr>
      </w:pPr>
    </w:p>
    <w:p>
      <w:pPr>
        <w:pStyle w:val="BodyText"/>
        <w:spacing w:before="9"/>
        <w:rPr>
          <w:sz w:val="22"/>
        </w:rPr>
      </w:pPr>
    </w:p>
    <w:p>
      <w:pPr>
        <w:pStyle w:val="Heading3"/>
        <w:numPr>
          <w:ilvl w:val="0"/>
          <w:numId w:val="1"/>
        </w:numPr>
        <w:tabs>
          <w:tab w:pos="834" w:val="left" w:leader="none"/>
        </w:tabs>
        <w:spacing w:line="240" w:lineRule="auto" w:before="0" w:after="0"/>
        <w:ind w:left="834" w:right="0" w:hanging="728"/>
        <w:jc w:val="both"/>
      </w:pPr>
      <w:bookmarkStart w:name="6.  PHARMACEUTICAL PARTICULARS" w:id="23"/>
      <w:bookmarkEnd w:id="23"/>
      <w:r>
        <w:rPr>
          <w:b w:val="0"/>
        </w:rPr>
      </w:r>
      <w:bookmarkStart w:name="6.  PHARMACEUTICAL PARTICULARS" w:id="24"/>
      <w:bookmarkEnd w:id="24"/>
      <w:r>
        <w:rPr/>
        <w:t>P</w:t>
      </w:r>
      <w:r>
        <w:rPr/>
        <w:t>HARMACEUTICAL</w:t>
      </w:r>
      <w:r>
        <w:rPr>
          <w:spacing w:val="-1"/>
        </w:rPr>
        <w:t> </w:t>
      </w:r>
      <w:r>
        <w:rPr/>
        <w:t>PARTICULARS</w:t>
      </w:r>
    </w:p>
    <w:p>
      <w:pPr>
        <w:pStyle w:val="BodyText"/>
        <w:rPr>
          <w:b/>
          <w:sz w:val="24"/>
        </w:rPr>
      </w:pPr>
    </w:p>
    <w:p>
      <w:pPr>
        <w:pStyle w:val="ListParagraph"/>
        <w:numPr>
          <w:ilvl w:val="1"/>
          <w:numId w:val="1"/>
        </w:numPr>
        <w:tabs>
          <w:tab w:pos="652" w:val="left" w:leader="none"/>
        </w:tabs>
        <w:spacing w:line="240" w:lineRule="auto" w:before="196" w:after="0"/>
        <w:ind w:left="678" w:right="0" w:hanging="572"/>
        <w:jc w:val="both"/>
        <w:rPr>
          <w:b/>
          <w:sz w:val="20"/>
        </w:rPr>
      </w:pPr>
      <w:r>
        <w:rPr>
          <w:b/>
          <w:sz w:val="20"/>
        </w:rPr>
        <w:t>List of</w:t>
      </w:r>
      <w:r>
        <w:rPr>
          <w:b/>
          <w:spacing w:val="-2"/>
          <w:sz w:val="20"/>
        </w:rPr>
        <w:t> </w:t>
      </w:r>
      <w:r>
        <w:rPr>
          <w:b/>
          <w:sz w:val="20"/>
        </w:rPr>
        <w:t>excipients</w:t>
      </w:r>
    </w:p>
    <w:p>
      <w:pPr>
        <w:pStyle w:val="BodyText"/>
        <w:rPr>
          <w:b/>
          <w:sz w:val="24"/>
        </w:rPr>
      </w:pPr>
    </w:p>
    <w:p>
      <w:pPr>
        <w:spacing w:line="720" w:lineRule="auto" w:before="194"/>
        <w:ind w:left="121" w:right="3220" w:firstLine="0"/>
        <w:jc w:val="left"/>
        <w:rPr>
          <w:sz w:val="20"/>
        </w:rPr>
      </w:pPr>
      <w:r>
        <w:rPr>
          <w:sz w:val="20"/>
        </w:rPr>
        <w:t>[List all excipients </w:t>
      </w:r>
      <w:r>
        <w:rPr>
          <w:b/>
          <w:sz w:val="20"/>
        </w:rPr>
        <w:t>except solvents removed during processing</w:t>
      </w:r>
      <w:r>
        <w:rPr>
          <w:sz w:val="20"/>
        </w:rPr>
        <w:t>.] [Grades/standards should </w:t>
      </w:r>
      <w:r>
        <w:rPr>
          <w:b/>
          <w:sz w:val="20"/>
        </w:rPr>
        <w:t>not </w:t>
      </w:r>
      <w:r>
        <w:rPr>
          <w:sz w:val="20"/>
        </w:rPr>
        <w:t>be indicated.]</w:t>
      </w:r>
    </w:p>
    <w:p>
      <w:pPr>
        <w:pStyle w:val="BodyText"/>
        <w:spacing w:line="360" w:lineRule="auto" w:before="1"/>
        <w:ind w:left="121" w:right="126"/>
        <w:jc w:val="both"/>
      </w:pPr>
      <w:r>
        <w:rPr/>
        <w:t>[The ingredients of mixtures (colourants, inks, capsule shells) should be listed. Flavour ingredients do not need to be listed. Only the </w:t>
      </w:r>
      <w:r>
        <w:rPr>
          <w:b/>
        </w:rPr>
        <w:t>solids </w:t>
      </w:r>
      <w:r>
        <w:rPr/>
        <w:t>of the printing ink should be included, usually shellac and black iron oxide.]</w:t>
      </w:r>
    </w:p>
    <w:p>
      <w:pPr>
        <w:pStyle w:val="BodyText"/>
        <w:spacing w:before="11"/>
        <w:rPr>
          <w:sz w:val="29"/>
        </w:rPr>
      </w:pPr>
    </w:p>
    <w:p>
      <w:pPr>
        <w:pStyle w:val="BodyText"/>
        <w:spacing w:line="360" w:lineRule="auto"/>
        <w:ind w:left="121" w:right="55"/>
      </w:pPr>
      <w:r>
        <w:rPr/>
        <w:t>[Check colourants to ensure they are acceptable for use (EU, Japan, US lists). If a colourant is noted that is discouraged for use, a note should be made in the assessment report.]</w:t>
      </w:r>
    </w:p>
    <w:p>
      <w:pPr>
        <w:spacing w:after="0" w:line="360" w:lineRule="auto"/>
        <w:sectPr>
          <w:pgSz w:w="11910" w:h="16850"/>
          <w:pgMar w:header="0" w:footer="959" w:top="1600" w:bottom="1220" w:left="1300" w:right="1120"/>
        </w:sectPr>
      </w:pPr>
    </w:p>
    <w:p>
      <w:pPr>
        <w:pStyle w:val="BodyText"/>
      </w:pPr>
    </w:p>
    <w:p>
      <w:pPr>
        <w:pStyle w:val="BodyText"/>
      </w:pPr>
    </w:p>
    <w:p>
      <w:pPr>
        <w:pStyle w:val="BodyText"/>
      </w:pPr>
    </w:p>
    <w:p>
      <w:pPr>
        <w:pStyle w:val="BodyText"/>
      </w:pPr>
    </w:p>
    <w:p>
      <w:pPr>
        <w:pStyle w:val="BodyText"/>
        <w:spacing w:before="5"/>
        <w:rPr>
          <w:sz w:val="29"/>
        </w:rPr>
      </w:pPr>
    </w:p>
    <w:p>
      <w:pPr>
        <w:pStyle w:val="Heading3"/>
        <w:numPr>
          <w:ilvl w:val="1"/>
          <w:numId w:val="1"/>
        </w:numPr>
        <w:tabs>
          <w:tab w:pos="623" w:val="left" w:leader="none"/>
        </w:tabs>
        <w:spacing w:line="240" w:lineRule="auto" w:before="99" w:after="0"/>
        <w:ind w:left="622" w:right="0" w:hanging="516"/>
        <w:jc w:val="left"/>
      </w:pPr>
      <w:bookmarkStart w:name="6.2  Incompatibilities" w:id="25"/>
      <w:bookmarkEnd w:id="25"/>
      <w:r>
        <w:rPr>
          <w:b w:val="0"/>
        </w:rPr>
      </w:r>
      <w:bookmarkStart w:name="6.2  Incompatibilities" w:id="26"/>
      <w:bookmarkEnd w:id="26"/>
      <w:r>
        <w:rPr/>
        <w:t>Inco</w:t>
      </w:r>
      <w:r>
        <w:rPr/>
        <w:t>mpatibilities</w:t>
      </w:r>
    </w:p>
    <w:p>
      <w:pPr>
        <w:pStyle w:val="BodyText"/>
        <w:rPr>
          <w:b/>
          <w:sz w:val="24"/>
        </w:rPr>
      </w:pPr>
    </w:p>
    <w:p>
      <w:pPr>
        <w:pStyle w:val="BodyText"/>
        <w:spacing w:before="194"/>
        <w:ind w:left="106"/>
      </w:pPr>
      <w:r>
        <w:rPr/>
        <w:t>&lt;Not applicable.&gt;</w:t>
      </w:r>
    </w:p>
    <w:p>
      <w:pPr>
        <w:pStyle w:val="BodyText"/>
        <w:rPr>
          <w:sz w:val="24"/>
        </w:rPr>
      </w:pPr>
    </w:p>
    <w:p>
      <w:pPr>
        <w:pStyle w:val="BodyText"/>
        <w:spacing w:line="360" w:lineRule="auto" w:before="199"/>
        <w:ind w:left="116" w:hanging="10"/>
      </w:pPr>
      <w:r>
        <w:rPr/>
        <w:t>&lt;In</w:t>
      </w:r>
      <w:r>
        <w:rPr>
          <w:spacing w:val="-9"/>
        </w:rPr>
        <w:t> </w:t>
      </w:r>
      <w:r>
        <w:rPr/>
        <w:t>the</w:t>
      </w:r>
      <w:r>
        <w:rPr>
          <w:spacing w:val="-8"/>
        </w:rPr>
        <w:t> </w:t>
      </w:r>
      <w:r>
        <w:rPr/>
        <w:t>absence</w:t>
      </w:r>
      <w:r>
        <w:rPr>
          <w:spacing w:val="-8"/>
        </w:rPr>
        <w:t> </w:t>
      </w:r>
      <w:r>
        <w:rPr/>
        <w:t>of</w:t>
      </w:r>
      <w:r>
        <w:rPr>
          <w:spacing w:val="-10"/>
        </w:rPr>
        <w:t> </w:t>
      </w:r>
      <w:r>
        <w:rPr/>
        <w:t>compatibility</w:t>
      </w:r>
      <w:r>
        <w:rPr>
          <w:spacing w:val="-9"/>
        </w:rPr>
        <w:t> </w:t>
      </w:r>
      <w:r>
        <w:rPr/>
        <w:t>studies,</w:t>
      </w:r>
      <w:r>
        <w:rPr>
          <w:spacing w:val="-9"/>
        </w:rPr>
        <w:t> </w:t>
      </w:r>
      <w:r>
        <w:rPr/>
        <w:t>this</w:t>
      </w:r>
      <w:r>
        <w:rPr>
          <w:spacing w:val="-9"/>
        </w:rPr>
        <w:t> </w:t>
      </w:r>
      <w:r>
        <w:rPr/>
        <w:t>medicinal</w:t>
      </w:r>
      <w:r>
        <w:rPr>
          <w:spacing w:val="-6"/>
        </w:rPr>
        <w:t> </w:t>
      </w:r>
      <w:r>
        <w:rPr/>
        <w:t>product</w:t>
      </w:r>
      <w:r>
        <w:rPr>
          <w:spacing w:val="-8"/>
        </w:rPr>
        <w:t> </w:t>
      </w:r>
      <w:r>
        <w:rPr/>
        <w:t>must</w:t>
      </w:r>
      <w:r>
        <w:rPr>
          <w:spacing w:val="-8"/>
        </w:rPr>
        <w:t> </w:t>
      </w:r>
      <w:r>
        <w:rPr/>
        <w:t>not</w:t>
      </w:r>
      <w:r>
        <w:rPr>
          <w:spacing w:val="-8"/>
        </w:rPr>
        <w:t> </w:t>
      </w:r>
      <w:r>
        <w:rPr/>
        <w:t>be</w:t>
      </w:r>
      <w:r>
        <w:rPr>
          <w:spacing w:val="-8"/>
        </w:rPr>
        <w:t> </w:t>
      </w:r>
      <w:r>
        <w:rPr/>
        <w:t>mixed</w:t>
      </w:r>
      <w:r>
        <w:rPr>
          <w:spacing w:val="-8"/>
        </w:rPr>
        <w:t> </w:t>
      </w:r>
      <w:r>
        <w:rPr/>
        <w:t>with</w:t>
      </w:r>
      <w:r>
        <w:rPr>
          <w:spacing w:val="-9"/>
        </w:rPr>
        <w:t> </w:t>
      </w:r>
      <w:r>
        <w:rPr/>
        <w:t>other</w:t>
      </w:r>
      <w:r>
        <w:rPr>
          <w:spacing w:val="-8"/>
        </w:rPr>
        <w:t> </w:t>
      </w:r>
      <w:r>
        <w:rPr/>
        <w:t>medicinal products.&gt;</w:t>
      </w:r>
    </w:p>
    <w:p>
      <w:pPr>
        <w:pStyle w:val="BodyText"/>
        <w:spacing w:before="6"/>
        <w:rPr>
          <w:sz w:val="30"/>
        </w:rPr>
      </w:pPr>
    </w:p>
    <w:p>
      <w:pPr>
        <w:pStyle w:val="BodyText"/>
        <w:spacing w:line="360" w:lineRule="auto"/>
        <w:ind w:left="116" w:hanging="10"/>
      </w:pPr>
      <w:r>
        <w:rPr/>
        <w:t>&lt;This medicinal product must not be mixed with other medicinal products except those mentioned in Section 6.6.&gt;</w:t>
      </w:r>
    </w:p>
    <w:p>
      <w:pPr>
        <w:pStyle w:val="BodyText"/>
        <w:spacing w:before="5"/>
        <w:rPr>
          <w:sz w:val="30"/>
        </w:rPr>
      </w:pPr>
    </w:p>
    <w:p>
      <w:pPr>
        <w:pStyle w:val="BodyText"/>
        <w:ind w:left="183"/>
      </w:pPr>
      <w:r>
        <w:rPr/>
        <w:t>&lt;This section is mostly of quality concern for parenteral products.&gt;</w:t>
      </w:r>
    </w:p>
    <w:p>
      <w:pPr>
        <w:pStyle w:val="BodyText"/>
        <w:rPr>
          <w:sz w:val="24"/>
        </w:rPr>
      </w:pPr>
    </w:p>
    <w:p>
      <w:pPr>
        <w:pStyle w:val="BodyText"/>
        <w:rPr>
          <w:sz w:val="24"/>
        </w:rPr>
      </w:pPr>
    </w:p>
    <w:p>
      <w:pPr>
        <w:pStyle w:val="BodyText"/>
        <w:spacing w:before="1"/>
        <w:rPr>
          <w:sz w:val="22"/>
        </w:rPr>
      </w:pPr>
    </w:p>
    <w:p>
      <w:pPr>
        <w:pStyle w:val="Heading3"/>
        <w:numPr>
          <w:ilvl w:val="1"/>
          <w:numId w:val="1"/>
        </w:numPr>
        <w:tabs>
          <w:tab w:pos="661" w:val="left" w:leader="none"/>
          <w:tab w:pos="662" w:val="left" w:leader="none"/>
        </w:tabs>
        <w:spacing w:line="240" w:lineRule="auto" w:before="0" w:after="0"/>
        <w:ind w:left="661" w:right="0" w:hanging="555"/>
        <w:jc w:val="left"/>
      </w:pPr>
      <w:r>
        <w:rPr/>
        <w:t>Shelf</w:t>
      </w:r>
      <w:r>
        <w:rPr>
          <w:spacing w:val="-2"/>
        </w:rPr>
        <w:t> </w:t>
      </w:r>
      <w:r>
        <w:rPr/>
        <w:t>life</w:t>
      </w:r>
    </w:p>
    <w:p>
      <w:pPr>
        <w:pStyle w:val="BodyText"/>
        <w:rPr>
          <w:b/>
          <w:sz w:val="24"/>
        </w:rPr>
      </w:pPr>
    </w:p>
    <w:p>
      <w:pPr>
        <w:spacing w:line="343" w:lineRule="auto" w:before="184"/>
        <w:ind w:left="121" w:right="0" w:firstLine="0"/>
        <w:jc w:val="left"/>
        <w:rPr>
          <w:i/>
          <w:sz w:val="21"/>
        </w:rPr>
      </w:pPr>
      <w:r>
        <w:rPr>
          <w:i/>
          <w:sz w:val="21"/>
        </w:rPr>
        <w:t>[Information on the finished product shelf life and on the in-use stability after 1st opening and/or Reconstitution/dilution</w:t>
      </w:r>
      <w:r>
        <w:rPr>
          <w:i/>
          <w:spacing w:val="-12"/>
          <w:sz w:val="21"/>
        </w:rPr>
        <w:t> </w:t>
      </w:r>
      <w:r>
        <w:rPr>
          <w:i/>
          <w:sz w:val="21"/>
        </w:rPr>
        <w:t>should</w:t>
      </w:r>
      <w:r>
        <w:rPr>
          <w:i/>
          <w:spacing w:val="-12"/>
          <w:sz w:val="21"/>
        </w:rPr>
        <w:t> </w:t>
      </w:r>
      <w:r>
        <w:rPr>
          <w:i/>
          <w:sz w:val="21"/>
        </w:rPr>
        <w:t>appear</w:t>
      </w:r>
      <w:r>
        <w:rPr>
          <w:i/>
          <w:spacing w:val="-13"/>
          <w:sz w:val="21"/>
        </w:rPr>
        <w:t> </w:t>
      </w:r>
      <w:r>
        <w:rPr>
          <w:i/>
          <w:sz w:val="21"/>
        </w:rPr>
        <w:t>here.</w:t>
      </w:r>
      <w:r>
        <w:rPr>
          <w:i/>
          <w:spacing w:val="-13"/>
          <w:sz w:val="21"/>
        </w:rPr>
        <w:t> </w:t>
      </w:r>
      <w:r>
        <w:rPr>
          <w:i/>
          <w:sz w:val="21"/>
        </w:rPr>
        <w:t>Only</w:t>
      </w:r>
      <w:r>
        <w:rPr>
          <w:i/>
          <w:spacing w:val="-12"/>
          <w:sz w:val="21"/>
        </w:rPr>
        <w:t> </w:t>
      </w:r>
      <w:r>
        <w:rPr>
          <w:i/>
          <w:sz w:val="21"/>
        </w:rPr>
        <w:t>one</w:t>
      </w:r>
      <w:r>
        <w:rPr>
          <w:i/>
          <w:spacing w:val="-11"/>
          <w:sz w:val="21"/>
        </w:rPr>
        <w:t> </w:t>
      </w:r>
      <w:r>
        <w:rPr>
          <w:i/>
          <w:sz w:val="21"/>
        </w:rPr>
        <w:t>overall</w:t>
      </w:r>
      <w:r>
        <w:rPr>
          <w:i/>
          <w:spacing w:val="-13"/>
          <w:sz w:val="21"/>
        </w:rPr>
        <w:t> </w:t>
      </w:r>
      <w:r>
        <w:rPr>
          <w:i/>
          <w:sz w:val="21"/>
        </w:rPr>
        <w:t>shelf</w:t>
      </w:r>
      <w:r>
        <w:rPr>
          <w:i/>
          <w:spacing w:val="-14"/>
          <w:sz w:val="21"/>
        </w:rPr>
        <w:t> </w:t>
      </w:r>
      <w:r>
        <w:rPr>
          <w:i/>
          <w:sz w:val="21"/>
        </w:rPr>
        <w:t>life</w:t>
      </w:r>
      <w:r>
        <w:rPr>
          <w:i/>
          <w:spacing w:val="-11"/>
          <w:sz w:val="21"/>
        </w:rPr>
        <w:t> </w:t>
      </w:r>
      <w:r>
        <w:rPr>
          <w:i/>
          <w:sz w:val="21"/>
        </w:rPr>
        <w:t>for</w:t>
      </w:r>
      <w:r>
        <w:rPr>
          <w:i/>
          <w:spacing w:val="-13"/>
          <w:sz w:val="21"/>
        </w:rPr>
        <w:t> </w:t>
      </w:r>
      <w:r>
        <w:rPr>
          <w:i/>
          <w:sz w:val="21"/>
        </w:rPr>
        <w:t>the</w:t>
      </w:r>
      <w:r>
        <w:rPr>
          <w:i/>
          <w:spacing w:val="-12"/>
          <w:sz w:val="21"/>
        </w:rPr>
        <w:t> </w:t>
      </w:r>
      <w:r>
        <w:rPr>
          <w:i/>
          <w:sz w:val="21"/>
        </w:rPr>
        <w:t>finished</w:t>
      </w:r>
      <w:r>
        <w:rPr>
          <w:i/>
          <w:spacing w:val="-12"/>
          <w:sz w:val="21"/>
        </w:rPr>
        <w:t> </w:t>
      </w:r>
      <w:r>
        <w:rPr>
          <w:i/>
          <w:sz w:val="21"/>
        </w:rPr>
        <w:t>product</w:t>
      </w:r>
      <w:r>
        <w:rPr>
          <w:i/>
          <w:spacing w:val="-12"/>
          <w:sz w:val="21"/>
        </w:rPr>
        <w:t> </w:t>
      </w:r>
      <w:r>
        <w:rPr>
          <w:i/>
          <w:sz w:val="21"/>
        </w:rPr>
        <w:t>is</w:t>
      </w:r>
      <w:r>
        <w:rPr>
          <w:i/>
          <w:spacing w:val="-13"/>
          <w:sz w:val="21"/>
        </w:rPr>
        <w:t> </w:t>
      </w:r>
      <w:r>
        <w:rPr>
          <w:i/>
          <w:sz w:val="21"/>
        </w:rPr>
        <w:t>to</w:t>
      </w:r>
      <w:r>
        <w:rPr>
          <w:i/>
          <w:spacing w:val="-12"/>
          <w:sz w:val="21"/>
        </w:rPr>
        <w:t> </w:t>
      </w:r>
      <w:r>
        <w:rPr>
          <w:i/>
          <w:sz w:val="21"/>
        </w:rPr>
        <w:t>be given</w:t>
      </w:r>
      <w:r>
        <w:rPr>
          <w:i/>
          <w:spacing w:val="-37"/>
          <w:sz w:val="21"/>
        </w:rPr>
        <w:t> </w:t>
      </w:r>
      <w:r>
        <w:rPr>
          <w:i/>
          <w:sz w:val="21"/>
        </w:rPr>
        <w:t>even</w:t>
      </w:r>
      <w:r>
        <w:rPr>
          <w:i/>
          <w:spacing w:val="-38"/>
          <w:sz w:val="21"/>
        </w:rPr>
        <w:t> </w:t>
      </w:r>
      <w:r>
        <w:rPr>
          <w:i/>
          <w:sz w:val="21"/>
        </w:rPr>
        <w:t>if</w:t>
      </w:r>
      <w:r>
        <w:rPr>
          <w:i/>
          <w:spacing w:val="-38"/>
          <w:sz w:val="21"/>
        </w:rPr>
        <w:t> </w:t>
      </w:r>
      <w:r>
        <w:rPr>
          <w:i/>
          <w:sz w:val="21"/>
        </w:rPr>
        <w:t>different</w:t>
      </w:r>
      <w:r>
        <w:rPr>
          <w:i/>
          <w:spacing w:val="-37"/>
          <w:sz w:val="21"/>
        </w:rPr>
        <w:t> </w:t>
      </w:r>
      <w:r>
        <w:rPr>
          <w:i/>
          <w:sz w:val="21"/>
        </w:rPr>
        <w:t>components</w:t>
      </w:r>
      <w:r>
        <w:rPr>
          <w:i/>
          <w:spacing w:val="-37"/>
          <w:sz w:val="21"/>
        </w:rPr>
        <w:t> </w:t>
      </w:r>
      <w:r>
        <w:rPr>
          <w:i/>
          <w:sz w:val="21"/>
        </w:rPr>
        <w:t>of</w:t>
      </w:r>
      <w:r>
        <w:rPr>
          <w:i/>
          <w:spacing w:val="-38"/>
          <w:sz w:val="21"/>
        </w:rPr>
        <w:t> </w:t>
      </w:r>
      <w:r>
        <w:rPr>
          <w:i/>
          <w:sz w:val="21"/>
        </w:rPr>
        <w:t>the</w:t>
      </w:r>
      <w:r>
        <w:rPr>
          <w:i/>
          <w:spacing w:val="-37"/>
          <w:sz w:val="21"/>
        </w:rPr>
        <w:t> </w:t>
      </w:r>
      <w:r>
        <w:rPr>
          <w:i/>
          <w:sz w:val="21"/>
        </w:rPr>
        <w:t>product</w:t>
      </w:r>
      <w:r>
        <w:rPr>
          <w:i/>
          <w:spacing w:val="-37"/>
          <w:sz w:val="21"/>
        </w:rPr>
        <w:t> </w:t>
      </w:r>
      <w:r>
        <w:rPr>
          <w:i/>
          <w:sz w:val="21"/>
        </w:rPr>
        <w:t>may</w:t>
      </w:r>
      <w:r>
        <w:rPr>
          <w:i/>
          <w:spacing w:val="-38"/>
          <w:sz w:val="21"/>
        </w:rPr>
        <w:t> </w:t>
      </w:r>
      <w:r>
        <w:rPr>
          <w:i/>
          <w:sz w:val="21"/>
        </w:rPr>
        <w:t>have</w:t>
      </w:r>
      <w:r>
        <w:rPr>
          <w:i/>
          <w:spacing w:val="-37"/>
          <w:sz w:val="21"/>
        </w:rPr>
        <w:t> </w:t>
      </w:r>
      <w:r>
        <w:rPr>
          <w:i/>
          <w:sz w:val="21"/>
        </w:rPr>
        <w:t>a</w:t>
      </w:r>
      <w:r>
        <w:rPr>
          <w:i/>
          <w:spacing w:val="-37"/>
          <w:sz w:val="21"/>
        </w:rPr>
        <w:t> </w:t>
      </w:r>
      <w:r>
        <w:rPr>
          <w:i/>
          <w:sz w:val="21"/>
        </w:rPr>
        <w:t>different</w:t>
      </w:r>
      <w:r>
        <w:rPr>
          <w:i/>
          <w:spacing w:val="-37"/>
          <w:sz w:val="21"/>
        </w:rPr>
        <w:t> </w:t>
      </w:r>
      <w:r>
        <w:rPr>
          <w:i/>
          <w:sz w:val="21"/>
        </w:rPr>
        <w:t>shelf</w:t>
      </w:r>
      <w:r>
        <w:rPr>
          <w:i/>
          <w:spacing w:val="-38"/>
          <w:sz w:val="21"/>
        </w:rPr>
        <w:t> </w:t>
      </w:r>
      <w:r>
        <w:rPr>
          <w:i/>
          <w:sz w:val="21"/>
        </w:rPr>
        <w:t>life</w:t>
      </w:r>
      <w:r>
        <w:rPr>
          <w:i/>
          <w:spacing w:val="-37"/>
          <w:sz w:val="21"/>
        </w:rPr>
        <w:t> </w:t>
      </w:r>
      <w:r>
        <w:rPr>
          <w:i/>
          <w:sz w:val="21"/>
        </w:rPr>
        <w:t>(e.g.</w:t>
      </w:r>
      <w:r>
        <w:rPr>
          <w:i/>
          <w:spacing w:val="-37"/>
          <w:sz w:val="21"/>
        </w:rPr>
        <w:t> </w:t>
      </w:r>
      <w:r>
        <w:rPr>
          <w:i/>
          <w:sz w:val="21"/>
        </w:rPr>
        <w:t>powder</w:t>
      </w:r>
      <w:r>
        <w:rPr>
          <w:i/>
          <w:spacing w:val="-37"/>
          <w:sz w:val="21"/>
        </w:rPr>
        <w:t> </w:t>
      </w:r>
      <w:r>
        <w:rPr>
          <w:i/>
          <w:sz w:val="21"/>
        </w:rPr>
        <w:t>&amp;</w:t>
      </w:r>
      <w:r>
        <w:rPr>
          <w:i/>
          <w:spacing w:val="-37"/>
          <w:sz w:val="21"/>
        </w:rPr>
        <w:t> </w:t>
      </w:r>
      <w:r>
        <w:rPr>
          <w:i/>
          <w:sz w:val="21"/>
        </w:rPr>
        <w:t>solvent).]</w:t>
      </w:r>
    </w:p>
    <w:p>
      <w:pPr>
        <w:pStyle w:val="BodyText"/>
        <w:spacing w:before="10"/>
        <w:rPr>
          <w:i/>
          <w:sz w:val="30"/>
        </w:rPr>
      </w:pPr>
    </w:p>
    <w:p>
      <w:pPr>
        <w:pStyle w:val="BodyText"/>
        <w:spacing w:before="1"/>
        <w:ind w:left="183"/>
      </w:pPr>
      <w:r>
        <w:rPr/>
        <w:t>If different pack types differ in shelf life, this should be clear.</w:t>
      </w:r>
    </w:p>
    <w:p>
      <w:pPr>
        <w:pStyle w:val="BodyText"/>
        <w:rPr>
          <w:sz w:val="24"/>
        </w:rPr>
      </w:pPr>
    </w:p>
    <w:p>
      <w:pPr>
        <w:pStyle w:val="BodyText"/>
        <w:spacing w:before="191"/>
        <w:ind w:left="164"/>
      </w:pPr>
      <w:r>
        <w:rPr/>
        <w:t>&lt;...&gt; &lt;6 months&gt; &lt;...&gt; &lt;1 year&gt; &lt;18 months&gt; &lt;2 years&gt; &lt;30 months&gt; &lt;3 years&gt; &lt;...&gt;</w:t>
      </w:r>
    </w:p>
    <w:p>
      <w:pPr>
        <w:pStyle w:val="BodyText"/>
        <w:rPr>
          <w:sz w:val="24"/>
        </w:rPr>
      </w:pPr>
    </w:p>
    <w:p>
      <w:pPr>
        <w:pStyle w:val="BodyText"/>
        <w:spacing w:line="360" w:lineRule="auto" w:before="198"/>
        <w:ind w:left="121" w:right="398"/>
      </w:pPr>
      <w:r>
        <w:rPr/>
        <w:t>Sterile products: Refer to max. In-use period of sterile after first opening and reconstitution:</w:t>
      </w:r>
      <w:hyperlink r:id="rId8">
        <w:r>
          <w:rPr/>
          <w:t> </w:t>
        </w:r>
        <w:r>
          <w:rPr>
            <w:w w:val="95"/>
          </w:rPr>
          <w:t>http://www.ema.europa.eu/docs/en_GB/document_library/Scientific_guideline/2009/09/WC500003476.</w:t>
        </w:r>
      </w:hyperlink>
      <w:r>
        <w:rPr>
          <w:w w:val="95"/>
        </w:rPr>
        <w:t>   </w:t>
      </w:r>
      <w:r>
        <w:rPr/>
        <w:t>pdf</w:t>
      </w:r>
    </w:p>
    <w:p>
      <w:pPr>
        <w:pStyle w:val="BodyText"/>
        <w:spacing w:before="2"/>
        <w:rPr>
          <w:sz w:val="30"/>
        </w:rPr>
      </w:pPr>
    </w:p>
    <w:p>
      <w:pPr>
        <w:pStyle w:val="BodyText"/>
        <w:ind w:left="121"/>
      </w:pPr>
      <w:r>
        <w:rPr/>
        <w:t>In-use period: &lt;established period e.g. for hygroscopic product stored in bottles&gt;</w:t>
      </w:r>
    </w:p>
    <w:p>
      <w:pPr>
        <w:pStyle w:val="BodyText"/>
        <w:rPr>
          <w:sz w:val="24"/>
        </w:rPr>
      </w:pPr>
    </w:p>
    <w:p>
      <w:pPr>
        <w:pStyle w:val="Heading3"/>
        <w:numPr>
          <w:ilvl w:val="1"/>
          <w:numId w:val="1"/>
        </w:numPr>
        <w:tabs>
          <w:tab w:pos="619" w:val="left" w:leader="none"/>
        </w:tabs>
        <w:spacing w:line="240" w:lineRule="auto" w:before="196" w:after="0"/>
        <w:ind w:left="618" w:right="0" w:hanging="512"/>
        <w:jc w:val="left"/>
      </w:pPr>
      <w:bookmarkStart w:name="6.4  Special precautions for storage" w:id="27"/>
      <w:bookmarkEnd w:id="27"/>
      <w:r>
        <w:rPr>
          <w:b w:val="0"/>
        </w:rPr>
      </w:r>
      <w:bookmarkStart w:name="6.4  Special precautions for storage" w:id="28"/>
      <w:bookmarkEnd w:id="28"/>
      <w:r>
        <w:rPr/>
        <w:t>S</w:t>
      </w:r>
      <w:r>
        <w:rPr/>
        <w:t>pecial precautions for</w:t>
      </w:r>
      <w:r>
        <w:rPr>
          <w:spacing w:val="-1"/>
        </w:rPr>
        <w:t> </w:t>
      </w:r>
      <w:r>
        <w:rPr/>
        <w:t>storage</w:t>
      </w:r>
    </w:p>
    <w:p>
      <w:pPr>
        <w:pStyle w:val="BodyText"/>
        <w:rPr>
          <w:b/>
          <w:sz w:val="24"/>
        </w:rPr>
      </w:pPr>
    </w:p>
    <w:p>
      <w:pPr>
        <w:spacing w:line="340" w:lineRule="auto" w:before="184"/>
        <w:ind w:left="121" w:right="0" w:firstLine="0"/>
        <w:jc w:val="left"/>
        <w:rPr>
          <w:i/>
          <w:sz w:val="21"/>
        </w:rPr>
      </w:pPr>
      <w:r>
        <w:rPr>
          <w:i/>
          <w:sz w:val="21"/>
        </w:rPr>
        <w:t>[General</w:t>
      </w:r>
      <w:r>
        <w:rPr>
          <w:i/>
          <w:spacing w:val="-30"/>
          <w:sz w:val="21"/>
        </w:rPr>
        <w:t> </w:t>
      </w:r>
      <w:r>
        <w:rPr>
          <w:i/>
          <w:sz w:val="21"/>
        </w:rPr>
        <w:t>storage</w:t>
      </w:r>
      <w:r>
        <w:rPr>
          <w:i/>
          <w:spacing w:val="-30"/>
          <w:sz w:val="21"/>
        </w:rPr>
        <w:t> </w:t>
      </w:r>
      <w:r>
        <w:rPr>
          <w:i/>
          <w:sz w:val="21"/>
        </w:rPr>
        <w:t>conditions</w:t>
      </w:r>
      <w:r>
        <w:rPr>
          <w:i/>
          <w:spacing w:val="-29"/>
          <w:sz w:val="21"/>
        </w:rPr>
        <w:t> </w:t>
      </w:r>
      <w:r>
        <w:rPr>
          <w:i/>
          <w:sz w:val="21"/>
        </w:rPr>
        <w:t>of</w:t>
      </w:r>
      <w:r>
        <w:rPr>
          <w:i/>
          <w:spacing w:val="-29"/>
          <w:sz w:val="21"/>
        </w:rPr>
        <w:t> </w:t>
      </w:r>
      <w:r>
        <w:rPr>
          <w:i/>
          <w:sz w:val="21"/>
        </w:rPr>
        <w:t>the</w:t>
      </w:r>
      <w:r>
        <w:rPr>
          <w:i/>
          <w:spacing w:val="-28"/>
          <w:sz w:val="21"/>
        </w:rPr>
        <w:t> </w:t>
      </w:r>
      <w:r>
        <w:rPr>
          <w:i/>
          <w:sz w:val="21"/>
        </w:rPr>
        <w:t>finished</w:t>
      </w:r>
      <w:r>
        <w:rPr>
          <w:i/>
          <w:spacing w:val="-30"/>
          <w:sz w:val="21"/>
        </w:rPr>
        <w:t> </w:t>
      </w:r>
      <w:r>
        <w:rPr>
          <w:i/>
          <w:sz w:val="21"/>
        </w:rPr>
        <w:t>product</w:t>
      </w:r>
      <w:r>
        <w:rPr>
          <w:i/>
          <w:spacing w:val="-30"/>
          <w:sz w:val="21"/>
        </w:rPr>
        <w:t> </w:t>
      </w:r>
      <w:r>
        <w:rPr>
          <w:i/>
          <w:sz w:val="21"/>
        </w:rPr>
        <w:t>should</w:t>
      </w:r>
      <w:r>
        <w:rPr>
          <w:i/>
          <w:spacing w:val="-30"/>
          <w:sz w:val="21"/>
        </w:rPr>
        <w:t> </w:t>
      </w:r>
      <w:r>
        <w:rPr>
          <w:i/>
          <w:sz w:val="21"/>
        </w:rPr>
        <w:t>appear</w:t>
      </w:r>
      <w:r>
        <w:rPr>
          <w:i/>
          <w:spacing w:val="-30"/>
          <w:sz w:val="21"/>
        </w:rPr>
        <w:t> </w:t>
      </w:r>
      <w:r>
        <w:rPr>
          <w:i/>
          <w:sz w:val="21"/>
        </w:rPr>
        <w:t>here,</w:t>
      </w:r>
      <w:r>
        <w:rPr>
          <w:i/>
          <w:spacing w:val="-30"/>
          <w:sz w:val="21"/>
        </w:rPr>
        <w:t> </w:t>
      </w:r>
      <w:r>
        <w:rPr>
          <w:i/>
          <w:sz w:val="21"/>
        </w:rPr>
        <w:t>together</w:t>
      </w:r>
      <w:r>
        <w:rPr>
          <w:i/>
          <w:spacing w:val="-28"/>
          <w:sz w:val="21"/>
        </w:rPr>
        <w:t> </w:t>
      </w:r>
      <w:r>
        <w:rPr>
          <w:i/>
          <w:sz w:val="21"/>
        </w:rPr>
        <w:t>with</w:t>
      </w:r>
      <w:r>
        <w:rPr>
          <w:i/>
          <w:spacing w:val="-31"/>
          <w:sz w:val="21"/>
        </w:rPr>
        <w:t> </w:t>
      </w:r>
      <w:r>
        <w:rPr>
          <w:i/>
          <w:sz w:val="21"/>
        </w:rPr>
        <w:t>a</w:t>
      </w:r>
      <w:r>
        <w:rPr>
          <w:i/>
          <w:spacing w:val="-30"/>
          <w:sz w:val="21"/>
        </w:rPr>
        <w:t> </w:t>
      </w:r>
      <w:r>
        <w:rPr>
          <w:i/>
          <w:sz w:val="21"/>
        </w:rPr>
        <w:t>cross-reference to section 6.3 where</w:t>
      </w:r>
      <w:r>
        <w:rPr>
          <w:i/>
          <w:spacing w:val="-20"/>
          <w:sz w:val="21"/>
        </w:rPr>
        <w:t> </w:t>
      </w:r>
      <w:r>
        <w:rPr>
          <w:i/>
          <w:sz w:val="21"/>
        </w:rPr>
        <w:t>appropriate:</w:t>
      </w:r>
    </w:p>
    <w:p>
      <w:pPr>
        <w:pStyle w:val="BodyText"/>
        <w:rPr>
          <w:i/>
          <w:sz w:val="31"/>
        </w:rPr>
      </w:pPr>
    </w:p>
    <w:p>
      <w:pPr>
        <w:pStyle w:val="BodyText"/>
        <w:spacing w:before="1"/>
        <w:ind w:left="106"/>
      </w:pPr>
      <w:r>
        <w:rPr/>
        <w:t>&lt;For storage conditions of the &lt;reconstituted&gt; &lt;diluted&gt; medicinal product, see Section 6.3.&gt;</w:t>
      </w:r>
    </w:p>
    <w:p>
      <w:pPr>
        <w:spacing w:after="0"/>
        <w:sectPr>
          <w:pgSz w:w="11910" w:h="16850"/>
          <w:pgMar w:header="0" w:footer="959" w:top="1600" w:bottom="1140" w:left="1300" w:right="11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9"/>
        </w:rPr>
      </w:pPr>
    </w:p>
    <w:p>
      <w:pPr>
        <w:pStyle w:val="BodyText"/>
        <w:spacing w:line="360" w:lineRule="auto" w:before="99"/>
        <w:ind w:left="121"/>
      </w:pPr>
      <w:r>
        <w:rPr/>
        <w:t>[For blisters in cartons where the carton is necessary for light protection, the statement, “Store tablets in the blisters in the provided carton” is necessary.]</w:t>
      </w:r>
    </w:p>
    <w:p>
      <w:pPr>
        <w:pStyle w:val="BodyText"/>
        <w:rPr>
          <w:sz w:val="24"/>
        </w:rPr>
      </w:pPr>
    </w:p>
    <w:p>
      <w:pPr>
        <w:pStyle w:val="BodyText"/>
        <w:rPr>
          <w:sz w:val="24"/>
        </w:rPr>
      </w:pPr>
    </w:p>
    <w:p>
      <w:pPr>
        <w:pStyle w:val="Heading3"/>
        <w:numPr>
          <w:ilvl w:val="1"/>
          <w:numId w:val="1"/>
        </w:numPr>
        <w:tabs>
          <w:tab w:pos="677" w:val="left" w:leader="none"/>
          <w:tab w:pos="679" w:val="left" w:leader="none"/>
        </w:tabs>
        <w:spacing w:line="362" w:lineRule="auto" w:before="146" w:after="0"/>
        <w:ind w:left="678" w:right="128" w:hanging="572"/>
        <w:jc w:val="left"/>
      </w:pPr>
      <w:r>
        <w:rPr/>
        <w:t>Nature and contents of container &lt;and special equipment for use, administration or implantation&gt;</w:t>
      </w:r>
    </w:p>
    <w:p>
      <w:pPr>
        <w:pStyle w:val="BodyText"/>
        <w:spacing w:before="1"/>
        <w:rPr>
          <w:b/>
          <w:sz w:val="29"/>
        </w:rPr>
      </w:pPr>
    </w:p>
    <w:p>
      <w:pPr>
        <w:spacing w:before="0"/>
        <w:ind w:left="121" w:right="0" w:firstLine="0"/>
        <w:jc w:val="left"/>
        <w:rPr>
          <w:i/>
          <w:sz w:val="21"/>
        </w:rPr>
      </w:pPr>
      <w:r>
        <w:rPr>
          <w:i/>
          <w:sz w:val="21"/>
        </w:rPr>
        <w:t>[All pack sizes must be listed. If applicable, add:]</w:t>
      </w:r>
    </w:p>
    <w:p>
      <w:pPr>
        <w:pStyle w:val="BodyText"/>
        <w:rPr>
          <w:i/>
          <w:sz w:val="24"/>
        </w:rPr>
      </w:pPr>
    </w:p>
    <w:p>
      <w:pPr>
        <w:pStyle w:val="BodyText"/>
        <w:spacing w:before="190"/>
        <w:ind w:left="121"/>
      </w:pPr>
      <w:r>
        <w:rPr/>
        <w:t>&lt;Not all pack sizes may be marketed.&gt;</w:t>
      </w:r>
    </w:p>
    <w:p>
      <w:pPr>
        <w:pStyle w:val="BodyText"/>
        <w:rPr>
          <w:sz w:val="24"/>
        </w:rPr>
      </w:pPr>
    </w:p>
    <w:p>
      <w:pPr>
        <w:pStyle w:val="BodyText"/>
        <w:spacing w:line="360" w:lineRule="auto" w:before="193"/>
        <w:ind w:left="121" w:right="119"/>
        <w:jc w:val="both"/>
      </w:pPr>
      <w:r>
        <w:rPr/>
        <w:t>[The container/closure description should include all parts of the primary packaging including desiccant, void filler or adsorbent cotton filler and dosing device(s) if relevant. Dimensions/volume/capacity may be listed. Shape and colour of the bottle and the cap type (including plastic e.g. PP), should be stated.</w:t>
      </w:r>
    </w:p>
    <w:p>
      <w:pPr>
        <w:pStyle w:val="BodyText"/>
        <w:spacing w:before="2"/>
        <w:rPr>
          <w:sz w:val="30"/>
        </w:rPr>
      </w:pPr>
    </w:p>
    <w:p>
      <w:pPr>
        <w:pStyle w:val="BodyText"/>
        <w:spacing w:line="357" w:lineRule="auto"/>
        <w:ind w:left="121"/>
      </w:pPr>
      <w:r>
        <w:rPr/>
        <w:t>[E.g. sealed LDPE bag, placed inside a round white HDPE bottle with plain PP screw cap and aluminium tagger (packs of 100 Tablets &amp; 1000 Tablets]</w:t>
      </w:r>
    </w:p>
    <w:p>
      <w:pPr>
        <w:pStyle w:val="BodyText"/>
        <w:spacing w:before="3"/>
        <w:rPr>
          <w:sz w:val="30"/>
        </w:rPr>
      </w:pPr>
    </w:p>
    <w:p>
      <w:pPr>
        <w:pStyle w:val="BodyText"/>
        <w:spacing w:line="360" w:lineRule="auto"/>
        <w:ind w:left="121" w:right="118"/>
      </w:pPr>
      <w:r>
        <w:rPr/>
        <w:t>[For</w:t>
      </w:r>
      <w:r>
        <w:rPr>
          <w:spacing w:val="-15"/>
        </w:rPr>
        <w:t> </w:t>
      </w:r>
      <w:r>
        <w:rPr/>
        <w:t>blisters</w:t>
      </w:r>
      <w:r>
        <w:rPr>
          <w:spacing w:val="-12"/>
        </w:rPr>
        <w:t> </w:t>
      </w:r>
      <w:r>
        <w:rPr/>
        <w:t>in</w:t>
      </w:r>
      <w:r>
        <w:rPr>
          <w:spacing w:val="-13"/>
        </w:rPr>
        <w:t> </w:t>
      </w:r>
      <w:r>
        <w:rPr/>
        <w:t>cartons</w:t>
      </w:r>
      <w:r>
        <w:rPr>
          <w:spacing w:val="-15"/>
        </w:rPr>
        <w:t> </w:t>
      </w:r>
      <w:r>
        <w:rPr/>
        <w:t>where</w:t>
      </w:r>
      <w:r>
        <w:rPr>
          <w:spacing w:val="-14"/>
        </w:rPr>
        <w:t> </w:t>
      </w:r>
      <w:r>
        <w:rPr/>
        <w:t>the</w:t>
      </w:r>
      <w:r>
        <w:rPr>
          <w:spacing w:val="-14"/>
        </w:rPr>
        <w:t> </w:t>
      </w:r>
      <w:r>
        <w:rPr/>
        <w:t>carton</w:t>
      </w:r>
      <w:r>
        <w:rPr>
          <w:spacing w:val="-15"/>
        </w:rPr>
        <w:t> </w:t>
      </w:r>
      <w:r>
        <w:rPr/>
        <w:t>is</w:t>
      </w:r>
      <w:r>
        <w:rPr>
          <w:spacing w:val="-12"/>
        </w:rPr>
        <w:t> </w:t>
      </w:r>
      <w:r>
        <w:rPr/>
        <w:t>necessary</w:t>
      </w:r>
      <w:r>
        <w:rPr>
          <w:spacing w:val="-13"/>
        </w:rPr>
        <w:t> </w:t>
      </w:r>
      <w:r>
        <w:rPr/>
        <w:t>for</w:t>
      </w:r>
      <w:r>
        <w:rPr>
          <w:spacing w:val="-12"/>
        </w:rPr>
        <w:t> </w:t>
      </w:r>
      <w:r>
        <w:rPr/>
        <w:t>light</w:t>
      </w:r>
      <w:r>
        <w:rPr>
          <w:spacing w:val="-12"/>
        </w:rPr>
        <w:t> </w:t>
      </w:r>
      <w:r>
        <w:rPr/>
        <w:t>protection,</w:t>
      </w:r>
      <w:r>
        <w:rPr>
          <w:spacing w:val="-15"/>
        </w:rPr>
        <w:t> </w:t>
      </w:r>
      <w:r>
        <w:rPr/>
        <w:t>the</w:t>
      </w:r>
      <w:r>
        <w:rPr>
          <w:spacing w:val="-12"/>
        </w:rPr>
        <w:t> </w:t>
      </w:r>
      <w:r>
        <w:rPr/>
        <w:t>carton</w:t>
      </w:r>
      <w:r>
        <w:rPr>
          <w:spacing w:val="-13"/>
        </w:rPr>
        <w:t> </w:t>
      </w:r>
      <w:r>
        <w:rPr/>
        <w:t>is</w:t>
      </w:r>
      <w:r>
        <w:rPr>
          <w:spacing w:val="-14"/>
        </w:rPr>
        <w:t> </w:t>
      </w:r>
      <w:r>
        <w:rPr/>
        <w:t>an</w:t>
      </w:r>
      <w:r>
        <w:rPr>
          <w:spacing w:val="-15"/>
        </w:rPr>
        <w:t> </w:t>
      </w:r>
      <w:r>
        <w:rPr/>
        <w:t>important</w:t>
      </w:r>
      <w:r>
        <w:rPr>
          <w:spacing w:val="-14"/>
        </w:rPr>
        <w:t> </w:t>
      </w:r>
      <w:r>
        <w:rPr/>
        <w:t>aspect of the package</w:t>
      </w:r>
      <w:r>
        <w:rPr>
          <w:spacing w:val="-3"/>
        </w:rPr>
        <w:t> </w:t>
      </w:r>
      <w:r>
        <w:rPr/>
        <w:t>description.]</w:t>
      </w:r>
    </w:p>
    <w:p>
      <w:pPr>
        <w:pStyle w:val="BodyText"/>
        <w:rPr>
          <w:sz w:val="24"/>
        </w:rPr>
      </w:pPr>
    </w:p>
    <w:p>
      <w:pPr>
        <w:pStyle w:val="BodyText"/>
        <w:rPr>
          <w:sz w:val="24"/>
        </w:rPr>
      </w:pPr>
    </w:p>
    <w:p>
      <w:pPr>
        <w:pStyle w:val="BodyText"/>
        <w:spacing w:before="146"/>
        <w:ind w:left="106"/>
      </w:pPr>
      <w:r>
        <w:rPr/>
        <w:t>&lt;Not all pack sizes may be marketed.&gt;</w:t>
      </w:r>
    </w:p>
    <w:p>
      <w:pPr>
        <w:pStyle w:val="BodyText"/>
        <w:rPr>
          <w:sz w:val="24"/>
        </w:rPr>
      </w:pPr>
    </w:p>
    <w:p>
      <w:pPr>
        <w:pStyle w:val="Heading3"/>
        <w:numPr>
          <w:ilvl w:val="1"/>
          <w:numId w:val="1"/>
        </w:numPr>
        <w:tabs>
          <w:tab w:pos="535" w:val="left" w:leader="none"/>
        </w:tabs>
        <w:spacing w:line="240" w:lineRule="auto" w:before="201" w:after="0"/>
        <w:ind w:left="534" w:right="0" w:hanging="428"/>
        <w:jc w:val="left"/>
      </w:pPr>
      <w:bookmarkStart w:name="6.6  Special precautions for disposal &lt;a" w:id="29"/>
      <w:bookmarkEnd w:id="29"/>
      <w:r>
        <w:rPr>
          <w:b w:val="0"/>
        </w:rPr>
      </w:r>
      <w:bookmarkStart w:name="6.6  Special precautions for disposal &lt;a" w:id="30"/>
      <w:bookmarkEnd w:id="30"/>
      <w:r>
        <w:rPr/>
        <w:t>S</w:t>
      </w:r>
      <w:r>
        <w:rPr/>
        <w:t>pecial precautions for disposal &lt;and other</w:t>
      </w:r>
      <w:r>
        <w:rPr>
          <w:spacing w:val="-1"/>
        </w:rPr>
        <w:t> </w:t>
      </w:r>
      <w:r>
        <w:rPr/>
        <w:t>handling&gt;</w:t>
      </w:r>
    </w:p>
    <w:p>
      <w:pPr>
        <w:pStyle w:val="BodyText"/>
        <w:rPr>
          <w:b/>
          <w:sz w:val="24"/>
        </w:rPr>
      </w:pPr>
    </w:p>
    <w:p>
      <w:pPr>
        <w:spacing w:line="340" w:lineRule="auto" w:before="184"/>
        <w:ind w:left="121" w:right="0" w:firstLine="0"/>
        <w:jc w:val="left"/>
        <w:rPr>
          <w:i/>
          <w:sz w:val="21"/>
        </w:rPr>
      </w:pPr>
      <w:r>
        <w:rPr>
          <w:i/>
          <w:sz w:val="21"/>
        </w:rPr>
        <w:t>[Include practical instructions for preparation and handling of the product including disposal of the medicinal product, and waste materials derived from the used medicinal product.]</w:t>
      </w:r>
    </w:p>
    <w:p>
      <w:pPr>
        <w:pStyle w:val="BodyText"/>
        <w:spacing w:before="1"/>
        <w:rPr>
          <w:i/>
          <w:sz w:val="31"/>
        </w:rPr>
      </w:pPr>
    </w:p>
    <w:p>
      <w:pPr>
        <w:pStyle w:val="BodyText"/>
        <w:ind w:left="121"/>
      </w:pPr>
      <w:r>
        <w:rPr/>
        <w:t>[Information on appearance of reconstituted parenteral solution should appear here]</w:t>
      </w:r>
    </w:p>
    <w:p>
      <w:pPr>
        <w:pStyle w:val="BodyText"/>
        <w:rPr>
          <w:sz w:val="24"/>
        </w:rPr>
      </w:pPr>
    </w:p>
    <w:p>
      <w:pPr>
        <w:pStyle w:val="BodyText"/>
        <w:spacing w:before="194"/>
        <w:ind w:left="106"/>
      </w:pPr>
      <w:r>
        <w:rPr/>
        <w:t>&lt;No special requirements.&gt;</w:t>
      </w:r>
    </w:p>
    <w:p>
      <w:pPr>
        <w:pStyle w:val="BodyText"/>
        <w:rPr>
          <w:sz w:val="24"/>
        </w:rPr>
      </w:pPr>
    </w:p>
    <w:p>
      <w:pPr>
        <w:pStyle w:val="BodyText"/>
        <w:spacing w:before="198"/>
        <w:ind w:left="106"/>
      </w:pPr>
      <w:r>
        <w:rPr/>
        <w:t>&lt;Any unused product or waste material should be disposed of in accordance with local requirements.&gt;</w:t>
      </w:r>
    </w:p>
    <w:p>
      <w:pPr>
        <w:spacing w:after="0"/>
        <w:sectPr>
          <w:pgSz w:w="11910" w:h="16850"/>
          <w:pgMar w:header="0" w:footer="959" w:top="1600" w:bottom="1160" w:left="1300" w:right="11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9"/>
        </w:rPr>
      </w:pPr>
    </w:p>
    <w:p>
      <w:pPr>
        <w:pStyle w:val="Heading3"/>
        <w:numPr>
          <w:ilvl w:val="0"/>
          <w:numId w:val="1"/>
        </w:numPr>
        <w:tabs>
          <w:tab w:pos="415" w:val="left" w:leader="none"/>
        </w:tabs>
        <w:spacing w:line="240" w:lineRule="auto" w:before="100" w:after="0"/>
        <w:ind w:left="414" w:right="0" w:hanging="308"/>
        <w:jc w:val="left"/>
      </w:pPr>
      <w:bookmarkStart w:name="7.  &lt;APPLICANT/MANUFACTURER&gt;" w:id="31"/>
      <w:bookmarkEnd w:id="31"/>
      <w:r>
        <w:rPr>
          <w:b w:val="0"/>
        </w:rPr>
      </w:r>
      <w:bookmarkStart w:name="7.  &lt;APPLICANT/MANUFACTURER&gt;" w:id="32"/>
      <w:bookmarkEnd w:id="32"/>
      <w:r>
        <w:rPr/>
        <w:t>&lt;</w:t>
      </w:r>
      <w:r>
        <w:rPr/>
        <w:t>APPLICANT/MANUFACTURER&gt;</w:t>
      </w:r>
    </w:p>
    <w:p>
      <w:pPr>
        <w:pStyle w:val="BodyText"/>
        <w:rPr>
          <w:b/>
          <w:sz w:val="24"/>
        </w:rPr>
      </w:pPr>
    </w:p>
    <w:p>
      <w:pPr>
        <w:pStyle w:val="BodyText"/>
        <w:spacing w:before="193"/>
        <w:ind w:left="106"/>
      </w:pPr>
      <w:r>
        <w:rPr/>
        <w:t>{Name and address}</w:t>
      </w:r>
    </w:p>
    <w:p>
      <w:pPr>
        <w:pStyle w:val="BodyText"/>
        <w:spacing w:before="126"/>
        <w:ind w:left="106"/>
      </w:pPr>
      <w:r>
        <w:rPr/>
        <w:t>&lt; {Tel}&gt;</w:t>
      </w:r>
    </w:p>
    <w:p>
      <w:pPr>
        <w:pStyle w:val="BodyText"/>
        <w:spacing w:before="126"/>
        <w:ind w:left="106"/>
      </w:pPr>
      <w:r>
        <w:rPr/>
        <w:t>&lt; {Fax}&gt;</w:t>
      </w:r>
    </w:p>
    <w:p>
      <w:pPr>
        <w:pStyle w:val="BodyText"/>
        <w:spacing w:before="126"/>
        <w:ind w:left="106"/>
      </w:pPr>
      <w:r>
        <w:rPr/>
        <w:t>&lt; {Email}&gt;</w:t>
      </w:r>
    </w:p>
    <w:sectPr>
      <w:pgSz w:w="11910" w:h="16850"/>
      <w:pgMar w:header="0" w:footer="959" w:top="1600" w:bottom="1220" w:left="130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479.959991pt;margin-top:779.931091pt;width:54.2pt;height:14.05pt;mso-position-horizontal-relative:page;mso-position-vertical-relative:page;z-index:-9640" type="#_x0000_t202" filled="false" stroked="false">
          <v:textbox inset="0,0,0,0">
            <w:txbxContent>
              <w:p>
                <w:pPr>
                  <w:spacing w:before="19"/>
                  <w:ind w:left="20" w:right="0" w:firstLine="0"/>
                  <w:jc w:val="left"/>
                  <w:rPr>
                    <w:b/>
                    <w:sz w:val="20"/>
                  </w:rPr>
                </w:pPr>
                <w:r>
                  <w:rPr>
                    <w:sz w:val="20"/>
                  </w:rPr>
                  <w:t>Page </w:t>
                </w:r>
                <w:r>
                  <w:rPr/>
                  <w:fldChar w:fldCharType="begin"/>
                </w:r>
                <w:r>
                  <w:rPr>
                    <w:b/>
                    <w:sz w:val="20"/>
                  </w:rPr>
                  <w:instrText> PAGE </w:instrText>
                </w:r>
                <w:r>
                  <w:rPr/>
                  <w:fldChar w:fldCharType="separate"/>
                </w:r>
                <w:r>
                  <w:rPr/>
                  <w:t>3</w:t>
                </w:r>
                <w:r>
                  <w:rPr/>
                  <w:fldChar w:fldCharType="end"/>
                </w:r>
                <w:r>
                  <w:rPr>
                    <w:b/>
                    <w:sz w:val="20"/>
                  </w:rPr>
                  <w:t> </w:t>
                </w:r>
                <w:r>
                  <w:rPr>
                    <w:sz w:val="20"/>
                  </w:rPr>
                  <w:t>of </w:t>
                </w:r>
                <w:r>
                  <w:rPr>
                    <w:b/>
                    <w:sz w:val="20"/>
                  </w:rPr>
                  <w:t>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479.959991pt;margin-top:779.931091pt;width:54.2pt;height:14.05pt;mso-position-horizontal-relative:page;mso-position-vertical-relative:page;z-index:-9616" type="#_x0000_t202" filled="false" stroked="false">
          <v:textbox inset="0,0,0,0">
            <w:txbxContent>
              <w:p>
                <w:pPr>
                  <w:spacing w:before="19"/>
                  <w:ind w:left="20" w:right="0" w:firstLine="0"/>
                  <w:jc w:val="left"/>
                  <w:rPr>
                    <w:b/>
                    <w:sz w:val="20"/>
                  </w:rPr>
                </w:pPr>
                <w:r>
                  <w:rPr>
                    <w:sz w:val="20"/>
                  </w:rPr>
                  <w:t>Page </w:t>
                </w:r>
                <w:r>
                  <w:rPr/>
                  <w:fldChar w:fldCharType="begin"/>
                </w:r>
                <w:r>
                  <w:rPr>
                    <w:b/>
                    <w:sz w:val="20"/>
                  </w:rPr>
                  <w:instrText> PAGE </w:instrText>
                </w:r>
                <w:r>
                  <w:rPr/>
                  <w:fldChar w:fldCharType="separate"/>
                </w:r>
                <w:r>
                  <w:rPr/>
                  <w:t>7</w:t>
                </w:r>
                <w:r>
                  <w:rPr/>
                  <w:fldChar w:fldCharType="end"/>
                </w:r>
                <w:r>
                  <w:rPr>
                    <w:b/>
                    <w:sz w:val="20"/>
                  </w:rPr>
                  <w:t> </w:t>
                </w:r>
                <w:r>
                  <w:rPr>
                    <w:sz w:val="20"/>
                  </w:rPr>
                  <w:t>of </w:t>
                </w:r>
                <w:r>
                  <w:rPr>
                    <w:b/>
                    <w:sz w:val="20"/>
                  </w:rPr>
                  <w:t>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02" w:hanging="696"/>
        <w:jc w:val="left"/>
      </w:pPr>
      <w:rPr>
        <w:rFonts w:hint="default" w:ascii="Tahoma" w:hAnsi="Tahoma" w:eastAsia="Tahoma" w:cs="Tahoma"/>
        <w:b/>
        <w:bCs/>
        <w:w w:val="99"/>
        <w:sz w:val="20"/>
        <w:szCs w:val="20"/>
        <w:lang w:val="en-us" w:eastAsia="en-us" w:bidi="en-us"/>
      </w:rPr>
    </w:lvl>
    <w:lvl w:ilvl="1">
      <w:start w:val="1"/>
      <w:numFmt w:val="decimal"/>
      <w:lvlText w:val="%1.%2"/>
      <w:lvlJc w:val="left"/>
      <w:pPr>
        <w:ind w:left="678" w:hanging="545"/>
        <w:jc w:val="left"/>
      </w:pPr>
      <w:rPr>
        <w:rFonts w:hint="default"/>
        <w:b/>
        <w:bCs/>
        <w:w w:val="99"/>
        <w:lang w:val="en-us" w:eastAsia="en-us" w:bidi="en-us"/>
      </w:rPr>
    </w:lvl>
    <w:lvl w:ilvl="2">
      <w:start w:val="0"/>
      <w:numFmt w:val="bullet"/>
      <w:lvlText w:val="•"/>
      <w:lvlJc w:val="left"/>
      <w:pPr>
        <w:ind w:left="680" w:hanging="545"/>
      </w:pPr>
      <w:rPr>
        <w:rFonts w:hint="default"/>
        <w:lang w:val="en-us" w:eastAsia="en-us" w:bidi="en-us"/>
      </w:rPr>
    </w:lvl>
    <w:lvl w:ilvl="3">
      <w:start w:val="0"/>
      <w:numFmt w:val="bullet"/>
      <w:lvlText w:val="•"/>
      <w:lvlJc w:val="left"/>
      <w:pPr>
        <w:ind w:left="800" w:hanging="545"/>
      </w:pPr>
      <w:rPr>
        <w:rFonts w:hint="default"/>
        <w:lang w:val="en-us" w:eastAsia="en-us" w:bidi="en-us"/>
      </w:rPr>
    </w:lvl>
    <w:lvl w:ilvl="4">
      <w:start w:val="0"/>
      <w:numFmt w:val="bullet"/>
      <w:lvlText w:val="•"/>
      <w:lvlJc w:val="left"/>
      <w:pPr>
        <w:ind w:left="2040" w:hanging="545"/>
      </w:pPr>
      <w:rPr>
        <w:rFonts w:hint="default"/>
        <w:lang w:val="en-us" w:eastAsia="en-us" w:bidi="en-us"/>
      </w:rPr>
    </w:lvl>
    <w:lvl w:ilvl="5">
      <w:start w:val="0"/>
      <w:numFmt w:val="bullet"/>
      <w:lvlText w:val="•"/>
      <w:lvlJc w:val="left"/>
      <w:pPr>
        <w:ind w:left="3281" w:hanging="545"/>
      </w:pPr>
      <w:rPr>
        <w:rFonts w:hint="default"/>
        <w:lang w:val="en-us" w:eastAsia="en-us" w:bidi="en-us"/>
      </w:rPr>
    </w:lvl>
    <w:lvl w:ilvl="6">
      <w:start w:val="0"/>
      <w:numFmt w:val="bullet"/>
      <w:lvlText w:val="•"/>
      <w:lvlJc w:val="left"/>
      <w:pPr>
        <w:ind w:left="4521" w:hanging="545"/>
      </w:pPr>
      <w:rPr>
        <w:rFonts w:hint="default"/>
        <w:lang w:val="en-us" w:eastAsia="en-us" w:bidi="en-us"/>
      </w:rPr>
    </w:lvl>
    <w:lvl w:ilvl="7">
      <w:start w:val="0"/>
      <w:numFmt w:val="bullet"/>
      <w:lvlText w:val="•"/>
      <w:lvlJc w:val="left"/>
      <w:pPr>
        <w:ind w:left="5762" w:hanging="545"/>
      </w:pPr>
      <w:rPr>
        <w:rFonts w:hint="default"/>
        <w:lang w:val="en-us" w:eastAsia="en-us" w:bidi="en-us"/>
      </w:rPr>
    </w:lvl>
    <w:lvl w:ilvl="8">
      <w:start w:val="0"/>
      <w:numFmt w:val="bullet"/>
      <w:lvlText w:val="•"/>
      <w:lvlJc w:val="left"/>
      <w:pPr>
        <w:ind w:left="7002" w:hanging="54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sz w:val="20"/>
      <w:szCs w:val="20"/>
      <w:lang w:val="en-us" w:eastAsia="en-us" w:bidi="en-us"/>
    </w:rPr>
  </w:style>
  <w:style w:styleId="Heading1" w:type="paragraph">
    <w:name w:val="Heading 1"/>
    <w:basedOn w:val="Normal"/>
    <w:uiPriority w:val="1"/>
    <w:qFormat/>
    <w:pPr>
      <w:ind w:left="188" w:right="185"/>
      <w:jc w:val="center"/>
      <w:outlineLvl w:val="1"/>
    </w:pPr>
    <w:rPr>
      <w:rFonts w:ascii="Tahoma" w:hAnsi="Tahoma" w:eastAsia="Tahoma" w:cs="Tahoma"/>
      <w:b/>
      <w:bCs/>
      <w:sz w:val="36"/>
      <w:szCs w:val="36"/>
      <w:lang w:val="en-us" w:eastAsia="en-us" w:bidi="en-us"/>
    </w:rPr>
  </w:style>
  <w:style w:styleId="Heading2" w:type="paragraph">
    <w:name w:val="Heading 2"/>
    <w:basedOn w:val="Normal"/>
    <w:uiPriority w:val="1"/>
    <w:qFormat/>
    <w:pPr>
      <w:spacing w:before="184"/>
      <w:ind w:left="121"/>
      <w:outlineLvl w:val="2"/>
    </w:pPr>
    <w:rPr>
      <w:rFonts w:ascii="Tahoma" w:hAnsi="Tahoma" w:eastAsia="Tahoma" w:cs="Tahoma"/>
      <w:i/>
      <w:sz w:val="21"/>
      <w:szCs w:val="21"/>
      <w:lang w:val="en-us" w:eastAsia="en-us" w:bidi="en-us"/>
    </w:rPr>
  </w:style>
  <w:style w:styleId="Heading3" w:type="paragraph">
    <w:name w:val="Heading 3"/>
    <w:basedOn w:val="Normal"/>
    <w:uiPriority w:val="1"/>
    <w:qFormat/>
    <w:pPr>
      <w:spacing w:before="196"/>
      <w:ind w:left="678" w:hanging="572"/>
      <w:outlineLvl w:val="3"/>
    </w:pPr>
    <w:rPr>
      <w:rFonts w:ascii="Tahoma" w:hAnsi="Tahoma" w:eastAsia="Tahoma" w:cs="Tahoma"/>
      <w:b/>
      <w:bCs/>
      <w:sz w:val="20"/>
      <w:szCs w:val="20"/>
      <w:lang w:val="en-us" w:eastAsia="en-us" w:bidi="en-us"/>
    </w:rPr>
  </w:style>
  <w:style w:styleId="ListParagraph" w:type="paragraph">
    <w:name w:val="List Paragraph"/>
    <w:basedOn w:val="Normal"/>
    <w:uiPriority w:val="1"/>
    <w:qFormat/>
    <w:pPr>
      <w:spacing w:before="196"/>
      <w:ind w:left="678" w:hanging="572"/>
    </w:pPr>
    <w:rPr>
      <w:rFonts w:ascii="Tahoma" w:hAnsi="Tahoma" w:eastAsia="Tahoma" w:cs="Tahom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hyperlink" Target="http://www.ema.europa.eu/docs/en_GB/document_library/Scientific_guideline/2009/09/WC500003476"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2018-07-07T07:33:54Z</dcterms:created>
  <dcterms:modified xsi:type="dcterms:W3CDTF">2018-07-07T07:33:54Z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2018-07-07T00:00:00Z</vt:filetime>
  </property>
</Properties>
</file>